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1.003644.000.00.00.H35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cơ sở khám bệnh, chữa bệnh khi thay đổi địa điểm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Sở Y tế;
Bước 2: Sở Y tế tiếp nhận và gửi Phiếu tiếp nhận hồ sơ theo quy định tại mẫu số 09 Phụ lục XI ban hành kèm theo Nghị định số 109/2016/NĐ-CP cho người đề nghị
Bước 3: Trong thời hạn 60 ngày đối với bệnh viện, 45 ngày đối với các hình thức tổ chức khám bệnh, chữa bệnh khác, kể từ ngày nhận đủ hồ sơ, Sở Y tế sẽ xem xét thẩm định hồ sơ và thẩm định tại cơ sở để cấp GPHĐ:
-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
-         Trường hợp hồ sơ đã đầy đủ và hợp lệ, Sở Y tế thành lập đoàn thẩm định và tiến hành thẩm định tại cơ sở khám bệnh, chữa bệnh để cấp giấy phép hoạt động.
-         Trường hợp không cấp GPHĐ, Sở Y tế phải có văn bản trả lời và nêu lý do.
Bước 4 : Trả GPHĐ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3.100.000 Đồng</w:t>
              <w:t xml:space="preserve"> (Phòng khám chuyên khoa y học cổ truyền)</w:t>
            </w:r>
          </w:p>
          <w:p>
            <w:pPr>
              <w:spacing w:after="0" w:before="0" w:lineRule="auto" w:line="276"/>
              <w:jc w:val="left"/>
            </w:pPr>
            <w:r>
              <w:rPr>
                <w:rFonts w:ascii="Times New Roman" w:hAnsi="Times New Roman" w:cs="Times New Roman" w:eastAsia="Times New Roman"/>
                <w:b w:val="false"/>
                <w:sz w:val="26"/>
              </w:rPr>
              <w:t>Lệ phí : 3.100.000 Đồng</w:t>
              <w:t xml:space="preserve"> (Phí thẩm định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Lệ phí : 4.300.000 Đồng</w:t>
              <w:t xml:space="preserve"> (Phí thẩm định Phòng khám chuyên khoa, Phòng khám, tư vấn và Điều trị dự phòng, Phòng khám, Điều trị bệnh nghề nghiệp, Phòng chẩn đoán hình ảnh, phòng X quang, Phòng xét nghiệm, Cơ sở dịch vụ y tế,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Lệ phí : 5.700.000 Đồng</w:t>
              <w:t xml:space="preserve"> (Phí thẩm định Phòng khám đa khoa, nhà hộ sinh, bệnh xá thuộc lực lượng Công an nhân dân, cơ sở khám bệnh, chữa bệnh y học gia đình (hoặc cơ sở khám bệnh, chữa bệnh theo nguyên lý y học gia đình)</w:t>
            </w:r>
          </w:p>
          <w:p>
            <w:pPr>
              <w:spacing w:after="0" w:before="0" w:lineRule="auto" w:line="276"/>
              <w:jc w:val="left"/>
            </w:pPr>
            <w:r>
              <w:rPr>
                <w:rFonts w:ascii="Times New Roman" w:hAnsi="Times New Roman" w:cs="Times New Roman" w:eastAsia="Times New Roman"/>
                <w:b w:val="false"/>
                <w:sz w:val="26"/>
              </w:rPr>
              <w:t>Lệ phí : 10.500.000 Đồng</w:t>
              <w:t xml:space="preserve"> (Phí thẩm định Bệnh viện)</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đối với các hình thức tổ chức khám bệnh, chữa bệnh khác,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3.100.000 Đồng</w:t>
              <w:t xml:space="preserve"> (Phòng khám chuyên khoa y học cổ truyền)</w:t>
            </w:r>
          </w:p>
          <w:p>
            <w:pPr>
              <w:spacing w:after="0" w:before="0" w:lineRule="auto" w:line="276"/>
              <w:jc w:val="left"/>
            </w:pPr>
            <w:r>
              <w:rPr>
                <w:rFonts w:ascii="Times New Roman" w:hAnsi="Times New Roman" w:cs="Times New Roman" w:eastAsia="Times New Roman"/>
                <w:b w:val="false"/>
                <w:sz w:val="26"/>
              </w:rPr>
              <w:t>Lệ phí : 3.100.000 Đồng</w:t>
              <w:t xml:space="preserve"> (Phí thẩm định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Lệ phí : 4.300.000 Đồng</w:t>
              <w:t xml:space="preserve"> (Phí thẩm định Phòng khám chuyên khoa, Phòng khám, tư vấn và Điều trị dự phòng, Phòng khám, Điều trị bệnh nghề nghiệp, Phòng chẩn đoán hình ảnh, phòng X quang, Phòng xét nghiệm, Cơ sở dịch vụ y tế,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Lệ phí : 5.700.000 Đồng</w:t>
              <w:t xml:space="preserve"> (Phí thẩm định Phòng khám đa khoa, nhà hộ sinh, bệnh xá thuộc lực lượng Công an nhân dân, cơ sở khám bệnh, chữa bệnh y học gia đình (hoặc cơ sở khám bệnh, chữa bệnh theo nguyên lý y học gia đình)</w:t>
            </w:r>
          </w:p>
          <w:p>
            <w:pPr>
              <w:spacing w:after="0" w:before="0" w:lineRule="auto" w:line="276"/>
              <w:jc w:val="left"/>
            </w:pPr>
            <w:r>
              <w:rPr>
                <w:rFonts w:ascii="Times New Roman" w:hAnsi="Times New Roman" w:cs="Times New Roman" w:eastAsia="Times New Roman"/>
                <w:b w:val="false"/>
                <w:sz w:val="26"/>
              </w:rPr>
              <w:t>Lệ phí : 10.500.000 Đồng</w:t>
              <w:t xml:space="preserve"> (Phí thẩm định Bệnh viện)</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đối với các hình thức tổ chức khám bệnh, chữa bệnh khác,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04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ND109_2016_mau 04_Phu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chịu trách nhiệm chuyên môn kỹ thuật của cơ sở khám bệnh, chữa bệnh; người phụ trách bộ phận chuyên môn của cơ sở khám bệnh, chữa bệnh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 (nếu có sự thay đổi so với hồ sơ trước đây).</w:t>
            </w:r>
          </w:p>
        </w:tc>
        <w:tc>
          <w:p/>
          <w:p>
            <w:pPr>
              <w:spacing w:after="0" w:before="0" w:lineRule="auto" w:line="276"/>
              <w:jc w:val="left"/>
            </w:pPr>
            <w:r>
              <w:rPr>
                <w:rFonts w:ascii="Times New Roman" w:hAnsi="Times New Roman" w:cs="Times New Roman" w:eastAsia="Times New Roman"/>
                <w:b w:val="false"/>
                <w:sz w:val="26"/>
              </w:rPr>
              <w:t>Phụ lục số IV_ND109.docx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02 Phụ lục XI ban hành kèm theo Nghị định 109/2016/NĐ-CP (nếu có sự thay đổi so với hồ sơ trước đây).</w:t>
            </w:r>
          </w:p>
        </w:tc>
        <w:tc>
          <w:p/>
          <w:p>
            <w:pPr>
              <w:spacing w:after="0" w:before="0" w:lineRule="auto" w:line="276"/>
              <w:jc w:val="left"/>
            </w:pPr>
            <w:r>
              <w:rPr>
                <w:rFonts w:ascii="Times New Roman" w:hAnsi="Times New Roman" w:cs="Times New Roman" w:eastAsia="Times New Roman"/>
                <w:b w:val="false"/>
                <w:sz w:val="26"/>
              </w:rPr>
              <w:t>ND109_2016_mau 02_Phu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tổ chức và hoạt động đối với bệnh viện nhà nước thực hiện theo mẫu quy định của Bộ trưởng Bộ Y tế; đối với bệnh viện tư nhân thực hiện theo Mẫu 03 Phụ lục XI ban hành kèm theo Nghị định 109/2016/NĐ-CP và phương án hoạt động ban đầu đối với bệnh viện (nếu có sự thay đổi so với hồ sơ trước đây).</w:t>
            </w:r>
          </w:p>
        </w:tc>
        <w:tc>
          <w:p/>
          <w:p>
            <w:pPr>
              <w:spacing w:after="0" w:before="0" w:lineRule="auto" w:line="276"/>
              <w:jc w:val="left"/>
            </w:pPr>
            <w:r>
              <w:rPr>
                <w:rFonts w:ascii="Times New Roman" w:hAnsi="Times New Roman" w:cs="Times New Roman" w:eastAsia="Times New Roman"/>
                <w:b w:val="false"/>
                <w:sz w:val="26"/>
              </w:rPr>
              <w:t>ND109_Mau3_Phu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vận chuyển người bệnh đối với bệnh viện, nhà hộ sinh không có phương tiện vận chuyển cấp cứu ngoài cơ sở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cơ sở dịch vụ cấp cứu, hỗ trợ vận chuyển người bệnh: Bản sao hợp lệ hợp đồng hỗ trợ chuyên môn với bệnh viện. Trong trường hợp có cung cấp dịch vụ vận chuyển người bệnh ra nước ngoài cần có bản sao hợp lệ hợp đồng vận chuyển người bệnh với công ty dịch vụ hàng không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Lai Châu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2026-05-26T17:17:03Z</dcterms:created>
  <dc:creator>Apache POI</dc:creator>
</cp:coreProperties>
</file>