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trên Phần mềm đăng ký, quản lý hộ tịch điện tử dùng chung, lưu chính thức và chuyển thông tin đến CSDLQGVDC để lấy Số định danh cá nhân.
- Sau khi CSDLQGVDC trả về Số định danh cá nhân, công chức tư pháp - hộ tịch in Giấy khai sinh, bản sao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p>
            <w:pPr>
              <w:spacing w:after="0" w:before="0" w:lineRule="auto" w:line="276"/>
              <w:jc w:val="left"/>
            </w:pPr>
            <w:r>
              <w:rPr>
                <w:rFonts w:ascii="Times New Roman" w:hAnsi="Times New Roman" w:cs="Times New Roman" w:eastAsia="Times New Roman"/>
                <w:b w:val="false"/>
                <w:sz w:val="26"/>
              </w:rPr>
              <w:t xml:space="preserve">Lệ phí : miễn </w:t>
              <w:t xml:space="preserve"> (- Miễn đối với trường hợp đăng ký khai sinh đúng hạn;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miễn Đồng</w:t>
              <w:t xml:space="preserve"> (- Miễn đối với trường hợp đăng ký khai sinh đúng hạn;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 khi thực hiện dịch vụ công trực tuyến.)</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p>
            <w:pPr>
              <w:spacing w:after="0" w:before="0" w:lineRule="auto" w:line="276"/>
              <w:jc w:val="left"/>
            </w:pPr>
            <w:r>
              <w:rPr>
                <w:rFonts w:ascii="Times New Roman" w:hAnsi="Times New Roman" w:cs="Times New Roman" w:eastAsia="Times New Roman"/>
                <w:b w:val="false"/>
                <w:sz w:val="26"/>
              </w:rPr>
              <w:t xml:space="preserve">Lệ phí : miễn </w:t>
              <w:t xml:space="preserve"> (- Miễn đối với trường hợp đăng ký khai sinh đúng hạn;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(toàn trình).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2026-05-20T08:02:10Z</dcterms:created>
  <dc:creator>Apache POI</dc:creator>
</cp:coreProperties>
</file>