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2.001928.000.00.00.H19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đầu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đơn khiếu nại
 Nếu khiếu nại thuộc thẩm quyền giải quyết của giám đốc sở, chủ tịch UBND cấp tỉnh theo quy định tại Điều 20, 21 Luật khiếu nại, người khiếu nại phải gửi đơn và các tài liệu liên quan (nếu có) người có thẩm quyền giải quyết. 
- Bước 2: Thụ lý giải quyết khiếu nại
Trong thời hạn 10 ngày, kể từ ngày nhận được đơn khiếu nại thuộc thẩm quyền giải quyết của mình, người có thẩm quyền thụ lý giải quyết và thông báo về việc thụ lý giải quyết cho người khiếu nại; trường hợp không thụ lý để giải quyết thì nêu rõ lý do.
- Bước 3: Xác minh nội dung khiếu nại
Trong thời hạn giải quyết khiếu nại lần đầu theo quy định tại Điều 28 Luật khiếu nại, người có thẩm quyền giải quyết khiếu nại có trách nhiệm:
+ Kiểm tra lại quyết định hành chính, hành vi hành chính của mình, của người có trách nhiệm do mình quản lý trực tiếp, nếu khiếu nại đúng thì ra quyết định giải quyết khiếu nại ngay.
+ Trường hợp chưa có cơ sở kết luận nội dung khiếu nại thì tự mình tiến hành xác minh, kết luận nội dung khiếu nại hoặc giao cơ quan thanh tra nhà nước hoặc cơ quan, tổ chức, cá nhân có trách nhiệm xác minh nội dung khiếu nại, kiến nghị giải quyết khiếu nại.
Việc xác minh nội dung khiếu nại được thực hiện theo quy định tại Điều 29 Luật khiếu nại, Mục 2, Chương II của Thông tư số  07/2013/TT-TTCP ngày 31 tháng 10 năm 2013 của Thanh tra Chính phủ quy định quy trình giải quyết khiếu nại hành chính.
- Bước 4: Tổ chức đối thoại (nếu yêu cầu của người khiếu nại và kết quả xác minh nội dung khiếu nại còn khác nhau). 
Trường hợp khiếu nại quyết định kỷ luật cán bộ, công chức thì cơ quan, tổ chức phải đối thoại với người khiếu nại.
Đại diện cơ quan giải quyết khiếu nại trực tiếp gặp gỡ, đối thoại với người khiếu nại, người bị khiếu nại, người có quyền, nghĩa vụ liên quan, cơ quan, tổ chức, cá nhân có liên quan để làm rõ nội dung khiếu nại, yêu cầu của người khiếu nại và hướng giải quyết khiếu nại; thông báo bằng văn bản với người khiếu nại, người bị khiếu nại, người có quyền và nghĩa vụ liên quan, cơ quan, tổ chức có liên quan biết thời gian, địa điểm, nội dung việc  đối thoại.
Khi đối thoại, người giải quyết nêu rõ nội dung cần đối thoại; kết quả xác minh nội dung khiếu nại; người tham gia đối thoại có quyền phát biểu ý kiến, đưa ra những bằng chứng liên quan đến vụ việc khiếu nại và yêu cầu của mình.
Việc đối thoại được lập thành biên bản; biên bản ghi rõ ý kiến của những người tham gia; kết quả đối thoại, có chữ ký hoặc điểm chỉ của người tham gia; trường hợp người tham gia đối thoại không ký, điểm chỉ xác nhận thì phải ghi rõ lý do, biên bản này được lưu vào hồ sơ vụ việc khiếu nại. Kết quả đối thoại là một trong các căn cứ để giải quyết khiếu nại.
- Bước 5: Ra quyết định giải quyết khiếu nại
Chủ tịch UBND cấp tỉnh, Giám đốc Sở ra quyết định giải quyết khiếu nại bằng văn bản và trong thời hạn 03 ngày làm việc và gửi quyết định giải quyết khiếu nại cho người khiếu nại, người bị khiếu nại, người có quyền, nghĩa vụ liên quan, cơ quan quản lý cấp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Công dân, tổ chức gửi đơn trực tiếp hoặc gửi theo đường bưu điện đến người có thẩm quyền giải quyết.
Theo Điều 28 Luật khiếu nại: Thời hạn giải quyết khiếu nại lần đầu không quá 30 ngày, kể từ ngày thụ lý để giải quyết; đối với vụ việc phức tạp thì thời hạn giải quyết có thể kéo dài hơn nhưng không quá 45 ngày, kể từ ngày thụ lý để giải quyết. Ở vùng sâu, vùng xa đi lại khó khăn, thì thời hạn giải quyết khiếu nại lần đầu không quá 45 ngày, kể từ ngày thụ lý để giải quyết; đối với vụ việc phức tạp thì thời hạn giải quyết có thể kéo dài hơn nhưng không quá 60 ngày, kể từ ngày thụ lý để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Công dân, tổ chức gửi đơn trực tiếp hoặc gửi theo đường bưu điện đến người có thẩm quyền giải quyết. 
Theo Điều 28 Luật khiếu nại: Thời hạn giải quyết khiếu nại lần đầu không quá 30 ngày, kể từ ngày thụ lý để giải quyết; đối với vụ việc phức tạp thì thời hạn giải quyết có thể kéo dài hơn nhưng không quá 45 ngày, kể từ ngày thụ lý để giải quyết. Ở vùng sâu, vùng xa đi lại khó khăn, thì thời hạn giải quyết khiếu nại lần đầu không quá 45 ngày, kể từ ngày thụ lý để giải quyết; đối với vụ việc phức tạp thì thời hạn giải quyết có thể kéo dài hơn nhưng không quá 60 ngày, kể từ ngày thụ lý để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Thông tư 02-2016.docx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có liên quan</w:t>
            </w:r>
          </w:p>
        </w:tc>
        <w:tc>
          <w:p/>
          <w:p>
            <w:pPr>
              <w:spacing w:after="0" w:before="0" w:lineRule="auto" w:line="276"/>
              <w:jc w:val="left"/>
            </w:pPr>
            <w:r>
              <w:rPr>
                <w:rFonts w:ascii="Times New Roman" w:hAnsi="Times New Roman" w:cs="Times New Roman" w:eastAsia="Times New Roman"/>
                <w:b w:val="false"/>
                <w:sz w:val="26"/>
              </w:rPr>
              <w:t>Mẫu Thông tư 07-2013.docx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tỉnh, Thanh tra sở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 Giám đốc Sở và cấp tương đương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dân, tổ chức gửi đơn trực tiếp hoặc gửi theo đường bưu điện đến người có thẩm quyền giải quyết.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đầu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Khiếu nại</w:t>
            </w:r>
          </w:p>
        </w:tc>
        <w:tc>
          <w:p/>
          <w:p>
            <w:pPr>
              <w:spacing w:after="0" w:before="0" w:lineRule="auto" w:line="276"/>
              <w:jc w:val="left"/>
            </w:pPr>
            <w:r>
              <w:rPr>
                <w:rFonts w:ascii="Times New Roman" w:hAnsi="Times New Roman" w:cs="Times New Roman" w:eastAsia="Times New Roman"/>
                <w:b w:val="false"/>
                <w:sz w:val="26"/>
              </w:rPr>
              <w:t>01-11-2011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1131/2008/QĐ-TTCP</w:t>
            </w:r>
          </w:p>
        </w:tc>
        <w:tc>
          <w:p/>
          <w:p>
            <w:pPr>
              <w:spacing w:after="0" w:before="0" w:lineRule="auto" w:line="276"/>
              <w:jc w:val="left"/>
            </w:pPr>
            <w:r>
              <w:rPr>
                <w:rFonts w:ascii="Times New Roman" w:hAnsi="Times New Roman" w:cs="Times New Roman" w:eastAsia="Times New Roman"/>
                <w:b w:val="false"/>
                <w:sz w:val="26"/>
              </w:rPr>
              <w:t>Về việc ban hành mẫu văn bản trong hoạt động thanh tra, giải quyết khiếu nại, tố cáo</w:t>
            </w:r>
          </w:p>
        </w:tc>
        <w:tc>
          <w:p/>
          <w:p>
            <w:pPr>
              <w:spacing w:after="0" w:before="0" w:lineRule="auto" w:line="276"/>
              <w:jc w:val="left"/>
            </w:pPr>
            <w:r>
              <w:rPr>
                <w:rFonts w:ascii="Times New Roman" w:hAnsi="Times New Roman" w:cs="Times New Roman" w:eastAsia="Times New Roman"/>
                <w:b w:val="false"/>
                <w:sz w:val="26"/>
              </w:rPr>
              <w:t>17-06-2008</w:t>
            </w:r>
          </w:p>
        </w:tc>
        <w:tc>
          <w:p/>
          <w:p>
            <w:pPr>
              <w:spacing w:after="0" w:before="0" w:lineRule="auto" w:line="276"/>
              <w:jc w:val="left"/>
            </w:pPr>
            <w:r>
              <w:rPr>
                <w:rFonts w:ascii="Times New Roman" w:hAnsi="Times New Roman" w:cs="Times New Roman" w:eastAsia="Times New Roman"/>
                <w:b w:val="false"/>
                <w:sz w:val="26"/>
              </w:rPr>
              <w:t>Thanh tra Chính phủ</w:t>
            </w:r>
          </w:p>
        </w:tc>
      </w:tr>
      <w:tr>
        <w:tc>
          <w:p/>
          <w:p>
            <w:pPr>
              <w:spacing w:after="0" w:before="0" w:lineRule="auto" w:line="276"/>
              <w:jc w:val="left"/>
            </w:pPr>
            <w:r>
              <w:rPr>
                <w:rFonts w:ascii="Times New Roman" w:hAnsi="Times New Roman" w:cs="Times New Roman" w:eastAsia="Times New Roman"/>
                <w:b w:val="false"/>
                <w:sz w:val="26"/>
              </w:rPr>
              <w:t>75/2012/NĐ-CP</w:t>
            </w:r>
          </w:p>
        </w:tc>
        <w:tc>
          <w:p/>
          <w:p>
            <w:pPr>
              <w:spacing w:after="0" w:before="0" w:lineRule="auto" w:line="276"/>
              <w:jc w:val="left"/>
            </w:pPr>
            <w:r>
              <w:rPr>
                <w:rFonts w:ascii="Times New Roman" w:hAnsi="Times New Roman" w:cs="Times New Roman" w:eastAsia="Times New Roman"/>
                <w:b w:val="false"/>
                <w:sz w:val="26"/>
              </w:rPr>
              <w:t>Nghị định 75/2012/NĐ-CP - Quy định chi tiết một số điều của Luật Khiếu nại</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02/2011/QH13 - Luật Khiếu nại</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07/2013/TT-TTCP</w:t>
            </w:r>
          </w:p>
        </w:tc>
        <w:tc>
          <w:p/>
          <w:p>
            <w:pPr>
              <w:spacing w:after="0" w:before="0" w:lineRule="auto" w:line="276"/>
              <w:jc w:val="left"/>
            </w:pPr>
            <w:r>
              <w:rPr>
                <w:rFonts w:ascii="Times New Roman" w:hAnsi="Times New Roman" w:cs="Times New Roman" w:eastAsia="Times New Roman"/>
                <w:b w:val="false"/>
                <w:sz w:val="26"/>
              </w:rPr>
              <w:t>Thông tư 07/2013/TT-TTCP - Quy định quy trình giải quyết khiếu nại hành chính</w:t>
            </w:r>
          </w:p>
        </w:tc>
        <w:tc>
          <w:p/>
          <w:p>
            <w:pPr>
              <w:spacing w:after="0" w:before="0" w:lineRule="auto" w:line="276"/>
              <w:jc w:val="left"/>
            </w:pPr>
            <w:r>
              <w:rPr>
                <w:rFonts w:ascii="Times New Roman" w:hAnsi="Times New Roman" w:cs="Times New Roman" w:eastAsia="Times New Roman"/>
                <w:b w:val="false"/>
                <w:sz w:val="26"/>
              </w:rPr>
              <w:t>31-10-2013</w:t>
            </w:r>
          </w:p>
        </w:tc>
        <w:tc>
          <w:p/>
          <w:p>
            <w:pPr>
              <w:spacing w:after="0" w:before="0" w:lineRule="auto" w:line="276"/>
              <w:jc w:val="left"/>
            </w:pPr>
            <w:r>
              <w:rPr>
                <w:rFonts w:ascii="Times New Roman" w:hAnsi="Times New Roman" w:cs="Times New Roman" w:eastAsia="Times New Roman"/>
                <w:b w:val="false"/>
                <w:sz w:val="26"/>
              </w:rPr>
              <w:t>Thanh tra Bộ</w:t>
            </w:r>
          </w:p>
        </w:tc>
      </w:tr>
      <w:tr>
        <w:tc>
          <w:p/>
          <w:p>
            <w:pPr>
              <w:spacing w:after="0" w:before="0" w:lineRule="auto" w:line="276"/>
              <w:jc w:val="left"/>
            </w:pPr>
            <w:r>
              <w:rPr>
                <w:rFonts w:ascii="Times New Roman" w:hAnsi="Times New Roman" w:cs="Times New Roman" w:eastAsia="Times New Roman"/>
                <w:b w:val="false"/>
                <w:sz w:val="26"/>
              </w:rPr>
              <w:t xml:space="preserve"> 01/2015/TT-UBDT </w:t>
            </w:r>
          </w:p>
        </w:tc>
        <w:tc>
          <w:p/>
          <w:p>
            <w:pPr>
              <w:spacing w:after="0" w:before="0" w:lineRule="auto" w:line="276"/>
              <w:jc w:val="left"/>
            </w:pPr>
            <w:r>
              <w:rPr>
                <w:rFonts w:ascii="Times New Roman" w:hAnsi="Times New Roman" w:cs="Times New Roman" w:eastAsia="Times New Roman"/>
                <w:b w:val="false"/>
                <w:sz w:val="26"/>
              </w:rPr>
              <w:t>Thông tư 01/2015/TT-UBDT- Quy định về tiếp công dân, giải quyết khiếu nại, tố cáo thuộc phạm vi quản lý nhà nước của Ủy ban Dân tộc</w:t>
            </w:r>
          </w:p>
        </w:tc>
        <w:tc>
          <w:p/>
          <w:p>
            <w:pPr>
              <w:spacing w:after="0" w:before="0" w:lineRule="auto" w:line="276"/>
              <w:jc w:val="left"/>
            </w:pPr>
            <w:r>
              <w:rPr>
                <w:rFonts w:ascii="Times New Roman" w:hAnsi="Times New Roman" w:cs="Times New Roman" w:eastAsia="Times New Roman"/>
                <w:b w:val="false"/>
                <w:sz w:val="26"/>
              </w:rPr>
              <w:t>23-07-2015</w:t>
            </w:r>
          </w:p>
        </w:tc>
        <w:tc>
          <w:p/>
          <w:p>
            <w:pPr>
              <w:spacing w:after="0" w:before="0" w:lineRule="auto" w:line="276"/>
              <w:jc w:val="left"/>
            </w:pPr>
            <w:r>
              <w:rPr>
                <w:rFonts w:ascii="Times New Roman" w:hAnsi="Times New Roman" w:cs="Times New Roman" w:eastAsia="Times New Roman"/>
                <w:b w:val="false"/>
                <w:sz w:val="26"/>
              </w:rPr>
              <w:t>Bộ Dân tộc và Tôn giáo</w:t>
            </w:r>
          </w:p>
        </w:tc>
      </w:tr>
      <w:tr>
        <w:tc>
          <w:p/>
          <w:p>
            <w:pPr>
              <w:spacing w:after="0" w:before="0" w:lineRule="auto" w:line="276"/>
              <w:jc w:val="left"/>
            </w:pPr>
            <w:r>
              <w:rPr>
                <w:rFonts w:ascii="Times New Roman" w:hAnsi="Times New Roman" w:cs="Times New Roman" w:eastAsia="Times New Roman"/>
                <w:b w:val="false"/>
                <w:sz w:val="26"/>
              </w:rPr>
              <w:t>07/2013/TT-TTCP</w:t>
            </w:r>
          </w:p>
        </w:tc>
        <w:tc>
          <w:p/>
          <w:p>
            <w:pPr>
              <w:spacing w:after="0" w:before="0" w:lineRule="auto" w:line="276"/>
              <w:jc w:val="left"/>
            </w:pPr>
            <w:r>
              <w:rPr>
                <w:rFonts w:ascii="Times New Roman" w:hAnsi="Times New Roman" w:cs="Times New Roman" w:eastAsia="Times New Roman"/>
                <w:b w:val="false"/>
                <w:sz w:val="26"/>
              </w:rPr>
              <w:t>Thông tư 07/2013/TT-TTCP - Quy định quy trình giải quyết khiếu nại hành chính</w:t>
            </w:r>
          </w:p>
        </w:tc>
        <w:tc>
          <w:p/>
          <w:p>
            <w:pPr>
              <w:spacing w:after="0" w:before="0" w:lineRule="auto" w:line="276"/>
              <w:jc w:val="left"/>
            </w:pPr>
            <w:r>
              <w:rPr>
                <w:rFonts w:ascii="Times New Roman" w:hAnsi="Times New Roman" w:cs="Times New Roman" w:eastAsia="Times New Roman"/>
                <w:b w:val="false"/>
                <w:sz w:val="26"/>
              </w:rPr>
              <w:t>31-10-2013</w:t>
            </w:r>
          </w:p>
        </w:tc>
        <w:tc>
          <w:p/>
          <w:p>
            <w:pPr>
              <w:spacing w:after="0" w:before="0" w:lineRule="auto" w:line="276"/>
              <w:jc w:val="left"/>
            </w:pPr>
            <w:r>
              <w:rPr>
                <w:rFonts w:ascii="Times New Roman" w:hAnsi="Times New Roman" w:cs="Times New Roman" w:eastAsia="Times New Roman"/>
                <w:b w:val="false"/>
                <w:sz w:val="26"/>
              </w:rPr>
              <w:t>Thanh tra Chính phủ</w:t>
            </w:r>
          </w:p>
        </w:tc>
      </w:tr>
      <w:tr>
        <w:tc>
          <w:p/>
          <w:p>
            <w:pPr>
              <w:spacing w:after="0" w:before="0" w:lineRule="auto" w:line="276"/>
              <w:jc w:val="left"/>
            </w:pPr>
            <w:r>
              <w:rPr>
                <w:rFonts w:ascii="Times New Roman" w:hAnsi="Times New Roman" w:cs="Times New Roman" w:eastAsia="Times New Roman"/>
                <w:b w:val="false"/>
                <w:sz w:val="26"/>
              </w:rPr>
              <w:t>02/2016/TT-TTCP</w:t>
            </w:r>
          </w:p>
        </w:tc>
        <w:tc>
          <w:p/>
          <w:p>
            <w:pPr>
              <w:spacing w:after="0" w:before="0" w:lineRule="auto" w:line="276"/>
              <w:jc w:val="left"/>
            </w:pPr>
            <w:r>
              <w:rPr>
                <w:rFonts w:ascii="Times New Roman" w:hAnsi="Times New Roman" w:cs="Times New Roman" w:eastAsia="Times New Roman"/>
                <w:b w:val="false"/>
                <w:sz w:val="26"/>
              </w:rPr>
              <w:t>Thông tư 02/2016/TT-TTCP - Sửa đổi, bổ sung một số điều của Thông tư số 07/2013/TT-TTCP ngày 31 tháng 10 năm 2013 của Thanh tra Chính phủ quy định quy trình giải quyết khiếu nại hành chính</w:t>
            </w:r>
          </w:p>
        </w:tc>
        <w:tc>
          <w:p/>
          <w:p>
            <w:pPr>
              <w:spacing w:after="0" w:before="0" w:lineRule="auto" w:line="276"/>
              <w:jc w:val="left"/>
            </w:pPr>
            <w:r>
              <w:rPr>
                <w:rFonts w:ascii="Times New Roman" w:hAnsi="Times New Roman" w:cs="Times New Roman" w:eastAsia="Times New Roman"/>
                <w:b w:val="false"/>
                <w:sz w:val="26"/>
              </w:rPr>
              <w:t>20-10-2016</w:t>
            </w:r>
          </w:p>
        </w:tc>
        <w:tc>
          <w:p/>
          <w:p>
            <w:pPr>
              <w:spacing w:after="0" w:before="0" w:lineRule="auto" w:line="276"/>
              <w:jc w:val="left"/>
            </w:pPr>
            <w:r>
              <w:rPr>
                <w:rFonts w:ascii="Times New Roman" w:hAnsi="Times New Roman" w:cs="Times New Roman" w:eastAsia="Times New Roman"/>
                <w:b w:val="false"/>
                <w:sz w:val="26"/>
              </w:rPr>
              <w:t>Thanh tra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khiếu nại phải là người có quyền, lợi ích hợp pháp chịu tác động trực tiếp bởi quyết định hành chính, hành vi hành chính mà mình khiếu nại.
2. Người khiếu nại phải là người có năng lực hành vi dân sự đầy đủ theo quy định của pháp luật; trong trường hợp thông qua người đại diện để thực hiện việc khiếu nại thì người đại diện phải theo quy định tại Điều 12, Điều 16 Luật Khiếu nại.
3. Người khiếu nại phải làm đơn khiếu nại và gửi đến đúng cơ quan có thẩm quyền giải quyết trong thời hạn, thời hiệu theo quy định của Luật Khiếu nại
4. Việc khiếu nại chưa có quyết định giải quyết lần hai.
5. Việc khiếu nại chưa được tòa án thụ lý để giải quyết.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2026-05-27T17:56:31Z</dcterms:created>
  <dc:creator>Apache POI</dc:creator>
</cp:coreProperties>
</file>