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phổ biến phim (- Phim tài liệu, phim khoa học, phim hoạt hình do cơ sở điện ảnh thuộc địa phương sản xuất hoặc nhập khẩu; - Cấp giấy phép phổ biến phim truyện khi năm trước liền kề, các cơ sở điện ảnh thuộc địa phương đáp ứng các điều kiện: + Sản suất ít nhất 10 phim truyện nhựa được phép phổ biến; + Nhập khẩu ít nhất 40 phim truyện nhựa được phép phổ biến)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điện ảnh đề nghị cấp giấy phép phổ biến phim nộp trực tiếp hoặc gửi qua đường bưu điện 01 bộ hồ sơ đến Sở Văn hóa, Thể thao và Du lịch/Sở Văn hóa và Thể thao.
- Sở Văn hóa, Thể thao và Du lịch/Sở Văn hóa và Thể thao các tỉnh, thành phố trực thuộc Trung ương cấp Giấy phép phổ biến phim. Trường hợp không cấp giấy phép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(chi tiết tại phụ lục đính kèm)</w:t>
              <w:br/>
              <w:t>File đính kèm: PHỤ LỤC MỨC PHÍ (điện ảnh).doc</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(chi tiết tại phụ lục đính kèm)</w:t>
              <w:br/>
              <w:t>File đính kèm: PHỤ LỤC MỨC PHÍ (điện ảnh).doc</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(Mẫu số 01 ban hành kèm theo Quyết định số 49/2008/QĐ-BVHTTDL ngày 09 tháng 7 năm 2008);</w:t>
            </w:r>
          </w:p>
        </w:tc>
        <w:tc>
          <w:p/>
          <w:p>
            <w:pPr>
              <w:spacing w:after="0" w:before="0" w:lineRule="auto" w:line="276"/>
              <w:jc w:val="left"/>
            </w:pPr>
            <w:r>
              <w:rPr>
                <w:rFonts w:ascii="Times New Roman" w:hAnsi="Times New Roman" w:cs="Times New Roman" w:eastAsia="Times New Roman"/>
                <w:b w:val="false"/>
                <w:sz w:val="26"/>
              </w:rPr>
              <w:t>Mẫu đơn TT8 Điện ảnh.docx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quyền phim.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Văn hóa, Thể thao và Du lịch Thanh Hóa tại Trung tâm Phục vụ hành chính công tỉnh Thanh Hóa, số 28 Đại lộ Lê Lợi, phường Điện Biên, thành phố Thanh Hóa,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phân loại phim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62/2006/QH11 </w:t>
            </w:r>
          </w:p>
        </w:tc>
        <w:tc>
          <w:p/>
          <w:p>
            <w:pPr>
              <w:spacing w:after="0" w:before="0" w:lineRule="auto" w:line="276"/>
              <w:jc w:val="left"/>
            </w:pPr>
            <w:r>
              <w:rPr>
                <w:rFonts w:ascii="Times New Roman" w:hAnsi="Times New Roman" w:cs="Times New Roman" w:eastAsia="Times New Roman"/>
                <w:b w:val="false"/>
                <w:sz w:val="26"/>
              </w:rPr>
              <w:t>Luật 62/2006/QH11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31/2009/QH12 </w:t>
            </w:r>
          </w:p>
        </w:tc>
        <w:tc>
          <w:p/>
          <w:p>
            <w:pPr>
              <w:spacing w:after="0" w:before="0" w:lineRule="auto" w:line="276"/>
              <w:jc w:val="left"/>
            </w:pPr>
            <w:r>
              <w:rPr>
                <w:rFonts w:ascii="Times New Roman" w:hAnsi="Times New Roman" w:cs="Times New Roman" w:eastAsia="Times New Roman"/>
                <w:b w:val="false"/>
                <w:sz w:val="26"/>
              </w:rPr>
              <w:t>Luật 31/2009/QH12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54/2010/NĐ-CP </w:t>
            </w:r>
          </w:p>
        </w:tc>
        <w:tc>
          <w:p/>
          <w:p>
            <w:pPr>
              <w:spacing w:after="0" w:before="0" w:lineRule="auto" w:line="276"/>
              <w:jc w:val="left"/>
            </w:pPr>
            <w:r>
              <w:rPr>
                <w:rFonts w:ascii="Times New Roman" w:hAnsi="Times New Roman" w:cs="Times New Roman" w:eastAsia="Times New Roman"/>
                <w:b w:val="false"/>
                <w:sz w:val="26"/>
              </w:rPr>
              <w:t>Nghị định 54/2010/NĐ-CP</w:t>
            </w:r>
          </w:p>
        </w:tc>
        <w:tc>
          <w:p/>
          <w:p>
            <w:pPr>
              <w:spacing w:after="0" w:before="0" w:lineRule="auto" w:line="276"/>
              <w:jc w:val="left"/>
            </w:pPr>
            <w:r>
              <w:rPr>
                <w:rFonts w:ascii="Times New Roman" w:hAnsi="Times New Roman" w:cs="Times New Roman" w:eastAsia="Times New Roman"/>
                <w:b w:val="false"/>
                <w:sz w:val="26"/>
              </w:rPr>
              <w:t>21-05-2010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11/2011/TT-BVHTTDL</w:t>
            </w:r>
          </w:p>
        </w:tc>
        <w:tc>
          <w:p/>
          <w:p>
            <w:pPr>
              <w:spacing w:after="0" w:before="0" w:lineRule="auto" w:line="276"/>
              <w:jc w:val="left"/>
            </w:pPr>
            <w:r>
              <w:rPr>
                <w:rFonts w:ascii="Times New Roman" w:hAnsi="Times New Roman" w:cs="Times New Roman" w:eastAsia="Times New Roman"/>
                <w:b w:val="false"/>
                <w:sz w:val="26"/>
              </w:rPr>
              <w:t>Thông tư 11/2011/TT-BVHTTDL</w:t>
            </w:r>
          </w:p>
        </w:tc>
        <w:tc>
          <w:p/>
          <w:p>
            <w:pPr>
              <w:spacing w:after="0" w:before="0" w:lineRule="auto" w:line="276"/>
              <w:jc w:val="left"/>
            </w:pPr>
            <w:r>
              <w:rPr>
                <w:rFonts w:ascii="Times New Roman" w:hAnsi="Times New Roman" w:cs="Times New Roman" w:eastAsia="Times New Roman"/>
                <w:b w:val="false"/>
                <w:sz w:val="26"/>
              </w:rPr>
              <w:t>19-09-2011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122/2013/TT-BTC</w:t>
            </w:r>
          </w:p>
        </w:tc>
        <w:tc>
          <w:p/>
          <w:p>
            <w:pPr>
              <w:spacing w:after="0" w:before="0" w:lineRule="auto" w:line="276"/>
              <w:jc w:val="left"/>
            </w:pPr>
            <w:r>
              <w:rPr>
                <w:rFonts w:ascii="Times New Roman" w:hAnsi="Times New Roman" w:cs="Times New Roman" w:eastAsia="Times New Roman"/>
                <w:b w:val="false"/>
                <w:sz w:val="26"/>
              </w:rPr>
              <w:t>Thông tư 122/2013/TT-BTC</w:t>
            </w:r>
          </w:p>
        </w:tc>
        <w:tc>
          <w:p/>
          <w:p>
            <w:pPr>
              <w:spacing w:after="0" w:before="0" w:lineRule="auto" w:line="276"/>
              <w:jc w:val="left"/>
            </w:pPr>
            <w:r>
              <w:rPr>
                <w:rFonts w:ascii="Times New Roman" w:hAnsi="Times New Roman" w:cs="Times New Roman" w:eastAsia="Times New Roman"/>
                <w:b w:val="false"/>
                <w:sz w:val="26"/>
              </w:rPr>
              <w:t>28-08-2013</w:t>
            </w:r>
          </w:p>
        </w:tc>
        <w:tc>
          <w:p/>
        </w:tc>
      </w:tr>
      <w:tr>
        <w:tc>
          <w:p/>
          <w:p>
            <w:pPr>
              <w:spacing w:after="0" w:before="0" w:lineRule="auto" w:line="276"/>
              <w:jc w:val="left"/>
            </w:pPr>
            <w:r>
              <w:rPr>
                <w:rFonts w:ascii="Times New Roman" w:hAnsi="Times New Roman" w:cs="Times New Roman" w:eastAsia="Times New Roman"/>
                <w:b w:val="false"/>
                <w:sz w:val="26"/>
              </w:rPr>
              <w:t>289/2016/TT-BTC</w:t>
            </w:r>
          </w:p>
        </w:tc>
        <w:tc>
          <w:p/>
          <w:p>
            <w:pPr>
              <w:spacing w:after="0" w:before="0" w:lineRule="auto" w:line="276"/>
              <w:jc w:val="left"/>
            </w:pPr>
            <w:r>
              <w:rPr>
                <w:rFonts w:ascii="Times New Roman" w:hAnsi="Times New Roman" w:cs="Times New Roman" w:eastAsia="Times New Roman"/>
                <w:b w:val="false"/>
                <w:sz w:val="26"/>
              </w:rPr>
              <w:t>Thông tư 289/2016/TT-BTC</w:t>
            </w:r>
          </w:p>
        </w:tc>
        <w:tc>
          <w:p/>
          <w:p>
            <w:pPr>
              <w:spacing w:after="0" w:before="0" w:lineRule="auto" w:line="276"/>
              <w:jc w:val="left"/>
            </w:pPr>
            <w:r>
              <w:rPr>
                <w:rFonts w:ascii="Times New Roman" w:hAnsi="Times New Roman" w:cs="Times New Roman" w:eastAsia="Times New Roman"/>
                <w:b w:val="false"/>
                <w:sz w:val="26"/>
              </w:rPr>
              <w:t>05-11-2016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49/2008/QĐ-BVHTTDL</w:t>
            </w:r>
          </w:p>
        </w:tc>
        <w:tc>
          <w:p/>
          <w:p>
            <w:pPr>
              <w:spacing w:after="0" w:before="0" w:lineRule="auto" w:line="276"/>
              <w:jc w:val="left"/>
            </w:pPr>
            <w:r>
              <w:rPr>
                <w:rFonts w:ascii="Times New Roman" w:hAnsi="Times New Roman" w:cs="Times New Roman" w:eastAsia="Times New Roman"/>
                <w:b w:val="false"/>
                <w:sz w:val="26"/>
              </w:rPr>
              <w:t>BAN HÀNH QUY CHẾ THẨM ĐỊNH VÀ CẤP GIẤY PHÉP PHỔ BIẾN PHIM</w:t>
            </w:r>
          </w:p>
        </w:tc>
        <w:tc>
          <w:p/>
          <w:p>
            <w:pPr>
              <w:spacing w:after="0" w:before="0" w:lineRule="auto" w:line="276"/>
              <w:jc w:val="left"/>
            </w:pPr>
            <w:r>
              <w:rPr>
                <w:rFonts w:ascii="Times New Roman" w:hAnsi="Times New Roman" w:cs="Times New Roman" w:eastAsia="Times New Roman"/>
                <w:b w:val="false"/>
                <w:sz w:val="26"/>
              </w:rPr>
              <w:t>09-07-2008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