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2.000986.000.00.00.H56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3212/QĐ-UBND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Liên thông thủ tục hành chính về đăng ký khai sinh, đăng ký thường trú, cấp thẻ bảo hiểm y tế cho trẻ em dưới 6 tuổi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Hộ tịch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Người có yêu cầu nộp hồ sơ tại Bộ phận tiếp nhận và trả kết quả theo cơ chế “Một cửa” của Ủy ban nhân dân cấp xã.</w:t>
      </w:r>
    </w:p>
    <w:p>
      <w:pPr>
        <w:spacing w:after="0" w:before="0" w:lineRule="auto" w:line="276"/>
        <w:jc w:val="both"/>
      </w:pPr>
      <w:r>
        <w:rPr>
          <w:rFonts w:ascii="Times New Roman" w:hAnsi="Times New Roman" w:cs="Times New Roman" w:eastAsia="Times New Roman"/>
          <w:b w:val="false"/>
          <w:sz w:val="26"/>
        </w:rPr>
        <w:t xml:space="preserve">       - Cán bộ, công chức tiếp nhận hồ sơ có trách nhiệm kiểm tra giấy tờ trong hồ sơ, nếu hồ sơ đầy đủ, hợp lệ thì tiếp nhận và tạm thu lệ phí đăng ký thường trú cho trẻ em theo quy định, đồng thời viết giấy nhận hồ sơ, hẹn trả kết quả từng loại việc cho người đi đăng ký; nếu hồ sơ thiếu hoặc không hợp lệ thì hướng dẫn người có yêu cầu bổ sung hoàn thiện hồ sơ; văn bản hướng dẫn phải ghi đầy đủ, rõ ràng loại giấy tờ cần bổ sung, hoàn thiện; cán bộ tiếp nhận hồ sơ ký, ghi rõ họ tên và giao cho người nộp hồ sơ</w:t>
      </w:r>
    </w:p>
    <w:p>
      <w:pPr>
        <w:spacing w:after="0" w:before="0" w:lineRule="auto" w:line="276"/>
        <w:jc w:val="both"/>
      </w:pPr>
      <w:r>
        <w:rPr>
          <w:rFonts w:ascii="Times New Roman" w:hAnsi="Times New Roman" w:cs="Times New Roman" w:eastAsia="Times New Roman"/>
          <w:b w:val="false"/>
          <w:sz w:val="26"/>
        </w:rPr>
        <w:t xml:space="preserve">      Trường hợp hồ sơ không thuộc thẩm quyền giải quyết thì giải thích, hướng dẫn người đi đăng ký đến đúng cơ quan có thẩm quyền giải quyết theo quy định.</w:t>
      </w:r>
    </w:p>
    <w:p>
      <w:pPr>
        <w:spacing w:after="0" w:before="0" w:lineRule="auto" w:line="276"/>
        <w:jc w:val="both"/>
      </w:pPr>
      <w:r>
        <w:rPr>
          <w:rFonts w:ascii="Times New Roman" w:hAnsi="Times New Roman" w:cs="Times New Roman" w:eastAsia="Times New Roman"/>
          <w:b w:val="false"/>
          <w:sz w:val="26"/>
        </w:rPr>
        <w:t xml:space="preserve">     - Công chức Tư pháp - hộ tịch cấp xã đăng ký khai sinh cho trẻ em ngay trong ngày tiếp nhận hồ sơ.</w:t>
      </w:r>
    </w:p>
    <w:p>
      <w:pPr>
        <w:spacing w:after="0" w:before="0" w:lineRule="auto" w:line="276"/>
        <w:jc w:val="both"/>
      </w:pPr>
      <w:r>
        <w:rPr>
          <w:rFonts w:ascii="Times New Roman" w:hAnsi="Times New Roman" w:cs="Times New Roman" w:eastAsia="Times New Roman"/>
          <w:b w:val="false"/>
          <w:sz w:val="26"/>
        </w:rPr>
        <w:t xml:space="preserve">      - Sau khi công chức Tư pháp – hộ tịch cấp xã thực hiện việc đăng ký khai sinh và cấp Giấy khai sinh cho trẻ em, cán bộ, công chức được giao nhiệm vụ lập hồ sơ đăng ký thường trú kèm theo lệ phí chuyển cho cơ quan Công an có thẩm quyền, cụ thể: Địa bàn huyện thì chuyển cho Công an xã, thị trấn thuộc huyện; địa bàn thị xã, thành phố thuộc tỉnh, quận, huyện, thị xã thuộc thành phố trực thuộc trung ương thì chuyển cho Công an cấp huyện để đăng ký thường trú cho trẻ em; đồng thời lập hồ sơ cấp Thẻ bảo hiểm y tế chuyển cho Bảo hiểm xã hội cấp huyện để cấp Thẻ bảo hiểm y tế cho trẻ em.</w:t>
      </w:r>
    </w:p>
    <w:p>
      <w:pPr>
        <w:spacing w:after="0" w:before="0" w:lineRule="auto" w:line="276"/>
        <w:jc w:val="both"/>
      </w:pPr>
      <w:r>
        <w:rPr>
          <w:rFonts w:ascii="Times New Roman" w:hAnsi="Times New Roman" w:cs="Times New Roman" w:eastAsia="Times New Roman"/>
          <w:b w:val="false"/>
          <w:sz w:val="26"/>
        </w:rPr>
        <w:t>- Cơ quan Công an, cơ quan Bảo hiểm xã hội kiểm tra hồ sơ, nếu thấy đầy đủ, hợp lệ thì thực hiện đăng ký thường trú (trong thời hạn 15 ngày), cấp Thẻ bảo hiểm y tế cho trẻ em (trong thời hạn 10 ngày).</w:t>
      </w:r>
    </w:p>
    <w:p>
      <w:pPr>
        <w:spacing w:after="0" w:before="0" w:lineRule="auto" w:line="276"/>
        <w:jc w:val="both"/>
      </w:pPr>
      <w:r>
        <w:rPr>
          <w:rFonts w:ascii="Times New Roman" w:hAnsi="Times New Roman" w:cs="Times New Roman" w:eastAsia="Times New Roman"/>
          <w:b w:val="false"/>
          <w:sz w:val="26"/>
        </w:rPr>
        <w:t>Trường hợp hồ sơ chưa đầy đủ thì thông báo cho Ủy ban nhân dân cấp xã biết, hoàn thiện.</w:t>
      </w:r>
    </w:p>
    <w:p>
      <w:pPr>
        <w:spacing w:after="0" w:before="0" w:lineRule="auto" w:line="276"/>
        <w:jc w:val="both"/>
      </w:pPr>
      <w:r>
        <w:rPr>
          <w:rFonts w:ascii="Times New Roman" w:hAnsi="Times New Roman" w:cs="Times New Roman" w:eastAsia="Times New Roman"/>
          <w:b w:val="false"/>
          <w:sz w:val="26"/>
        </w:rPr>
        <w:t>- Cơ quan Công an, Bảo hiểm xã hội chuyển trả kết quả đăng ký thường trú, Thẻ bảo hiểm y tế cho trẻ em về Ủy ban nhân dân cấp xã.</w:t>
      </w:r>
    </w:p>
    <w:p>
      <w:pPr>
        <w:spacing w:after="0" w:before="0" w:lineRule="auto" w:line="276"/>
        <w:jc w:val="both"/>
      </w:pPr>
      <w:r>
        <w:rPr>
          <w:rFonts w:ascii="Times New Roman" w:hAnsi="Times New Roman" w:cs="Times New Roman" w:eastAsia="Times New Roman"/>
          <w:b w:val="false"/>
          <w:sz w:val="26"/>
        </w:rPr>
        <w:t>- Bộ phận tiếp nhận và trả kết quả theo cơ chế “Một cửa” tại Ủy ban nhân dân cấp xã trả kết quả cho người có yêu cầu.</w:t>
      </w:r>
    </w:p>
    <w:p>
      <w:pPr>
        <w:spacing w:after="0" w:before="0" w:lineRule="auto" w:line="276"/>
        <w:jc w:val="both"/>
      </w:pPr>
      <w:r>
        <w:rPr>
          <w:rFonts w:ascii="Times New Roman" w:hAnsi="Times New Roman" w:cs="Times New Roman" w:eastAsia="Times New Roman"/>
          <w:b w:val="false"/>
          <w:sz w:val="26"/>
        </w:rPr>
        <w:t xml:space="preserve">      Khi trả Giấy khai sinh cho người có yêu cầu, công chức Tư pháp – hộ tịch ghi vào Sổ đăng ký khai sinh, yêu cầu người có yêu cầu ký tên vào Sổ đăng ký khai sinh và Giấy khai sinh.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t xml:space="preserve">Phí : 8.000đ/bản sao </w:t>
              <w:t xml:space="preserve"> (Phí trích lục khai sinh bản sao)</w:t>
            </w:r>
          </w:p>
          <w:p>
            <w:pPr>
              <w:spacing w:after="0" w:before="0" w:lineRule="auto" w:line="276"/>
              <w:jc w:val="left"/>
            </w:pPr>
            <w:r>
              <w:rPr>
                <w:rFonts w:ascii="Times New Roman" w:hAnsi="Times New Roman" w:cs="Times New Roman" w:eastAsia="Times New Roman"/>
                <w:b w:val="false"/>
                <w:sz w:val="26"/>
              </w:rPr>
              <w:t xml:space="preserve">Lệ phí : miễn </w:t>
              <w:br/>
              <w:t>File đính kèm: NQ 28 về phí, lệ phí.pdf</w:t>
            </w:r>
          </w:p>
        </w:tc>
        <w:tc>
          <w:p/>
          <w:p>
            <w:pPr>
              <w:spacing w:after="0" w:before="0" w:lineRule="auto" w:line="276"/>
              <w:jc w:val="left"/>
            </w:pPr>
            <w:r>
              <w:rPr>
                <w:rFonts w:ascii="Times New Roman" w:hAnsi="Times New Roman" w:cs="Times New Roman" w:eastAsia="Times New Roman"/>
                <w:b w:val="false"/>
                <w:sz w:val="26"/>
              </w:rPr>
              <w:t>- Trường hợp hồ sơ, thông tin chưa đầy đủ hoặc chưa đúng quy định mà Bộ Bộ phận tiếp nhận và trả kết quả của UBND cấp phải hoàn thiện hồ sơ, bổ sung thông tin theo yêu cầu của cơ quan Công an, cơ quan Bảo hiểm xã hội thì thời hạn giải quyết được kéo dài thêm không quá 02 ngày làm việc.
 - Đối với các xã cách xa trụ sở cơ quan Bảo hiểm xã hội cấp huyện hoặc cơ quan Công an cấp huyện từ 50 km trở lên, giao thông đi lại khó khăn, chưa được kết nối Internet thì thời hạn trả kết quả được kéo dài thêm nhưng không quá 05 ngày làm việc.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t xml:space="preserve">Phí : 8.000đ/bản sao </w:t>
              <w:t xml:space="preserve"> (- Phí cấp bản sao Trích lục khai sinh (nếu có yêu cầu))</w:t>
            </w:r>
          </w:p>
        </w:tc>
        <w:tc>
          <w:p/>
          <w:p>
            <w:pPr>
              <w:spacing w:after="0" w:before="0" w:lineRule="auto" w:line="276"/>
              <w:jc w:val="left"/>
            </w:pPr>
            <w:r>
              <w:rPr>
                <w:rFonts w:ascii="Times New Roman" w:hAnsi="Times New Roman" w:cs="Times New Roman" w:eastAsia="Times New Roman"/>
                <w:b w:val="false"/>
                <w:sz w:val="26"/>
              </w:rPr>
              <w:t>- Trường hợp hồ sơ, thông tin chưa đầy đủ hoặc chưa đúng quy định mà Bộ Bộ phận tiếp nhận và trả kết quả của UBND cấp phải hoàn thiện hồ sơ, bổ sung thông tin theo yêu cầu của cơ quan Công an, cơ quan Bảo hiểm xã hội thì thời hạn giải quyết được kéo dài thêm không quá 02 ngày làm việc.
 - Đối với các xã cách xa trụ sở cơ quan Bảo hiểm xã hội cấp huyện hoặc cơ quan Công an cấp huyện từ 50 km trở lên, giao thông đi lại khó khăn, chưa được kết nối Internet thì thời hạn trả kết quả được kéo dài thêm nhưng không quá 05 ngày làm việc.
- Địa chỉ trực tuyến: https://dichvucong.gov.vn (một phần)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khai đăng ký khai sinh theo mẫu quy định.</w:t>
            </w:r>
          </w:p>
        </w:tc>
        <w:tc>
          <w:p/>
          <w:p>
            <w:pPr>
              <w:spacing w:after="0" w:before="0" w:lineRule="auto" w:line="276"/>
              <w:jc w:val="left"/>
            </w:pPr>
            <w:r>
              <w:rPr>
                <w:rFonts w:ascii="Times New Roman" w:hAnsi="Times New Roman" w:cs="Times New Roman" w:eastAsia="Times New Roman"/>
                <w:b w:val="false"/>
                <w:sz w:val="26"/>
              </w:rPr>
              <w:t>Tờ khai đăng ký khai sinh.docx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chứng sinh do cơ sở y tế nơi trẻ em sinh ra cấp; nếu trẻ em sinh ra ngoài cơ sở y tế thì giấy chứng sinh được thay bằng văn bản xác nhận của người làm chứng; trường hợp không có người làm chứng thì người đi khai sinh phải làm giấy cam đoan về việc sinh là có thực. Đối với trường hợp trẻ em bị bỏ rơi thì nộp biên bản về việc trẻ em bị bỏ rơi thay cho giấy chứng sinh.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Phiếu báo thay đổi hộ khẩu, nhân khẩu (theo mẫu quy định); Sổ hộ khẩu của cha, mẹ (bản chính) hoặc Sổ hộ khẩu của mẹ (bản chính) đối với trường hợp trẻ em đăng ký thường trú theo mẹ hoặc Sổ hộ khẩu của cha (bản chính) đối với trường hợp trẻ em đăng ký thường trú theo cha hoặc Sổ hộ khẩu của người nuôi dưỡng, chăm sóc trẻ (bản chính) đối với trường hợp trẻ em không đăng ký thường trú theo cha, mẹ, bản sao Giấy khai sinh của trẻ.</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trẻ em không đăng ký thường trú cùng hộ khẩu với cha, mẹ mà đăng ký thường trú theo hộ khẩu của người khác thì ngoài bản sao Giấy khai sinh, phải có ý kiến bằng văn bản của cha, mẹ, có xác nhận của Ủy ban nhân dân cấp xã, ý kiến đồng ý của chủ hộ và Sổ hộ khẩu của chủ hộ (bản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Tờ khai tham gia bảo hiểm y tế, Danh sách đề nghị cấp thẻ bảo hiểm y tế cho trẻ em dưới 6 tuổi của Ủy ban nhân dân cấp xã (theo mẫu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UBND cấp xã . - Địa chỉ trực tuyến: Cổng Dịch vụ công quốc gia tại địa chỉ: https://dichvucong.gov.vn . Trung tâm Phục vụ hành chính công tỉnh (số 28 Đại lộ Lê Lợi, phường Hạc Thành, tỉnh Thanh Hóa)</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khai sinh, Thông báo kết quả giải quyết thủ tục về cư trú, hủy bỏ thủ tục về cư trú, Phiếu từ chối tiếp nhận, giải quyết hồ sơ (lĩnh vực cư trú), Thẻ bảo hiểm y tế</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60/2014/QH13</w:t>
            </w:r>
          </w:p>
        </w:tc>
        <w:tc>
          <w:p/>
          <w:p>
            <w:pPr>
              <w:spacing w:after="0" w:before="0" w:lineRule="auto" w:line="276"/>
              <w:jc w:val="left"/>
            </w:pPr>
            <w:r>
              <w:rPr>
                <w:rFonts w:ascii="Times New Roman" w:hAnsi="Times New Roman" w:cs="Times New Roman" w:eastAsia="Times New Roman"/>
                <w:b w:val="false"/>
                <w:sz w:val="26"/>
              </w:rPr>
              <w:t>Luật 60/2014/QH13</w:t>
            </w:r>
          </w:p>
        </w:tc>
        <w:tc>
          <w:p/>
          <w:p>
            <w:pPr>
              <w:spacing w:after="0" w:before="0" w:lineRule="auto" w:line="276"/>
              <w:jc w:val="left"/>
            </w:pPr>
            <w:r>
              <w:rPr>
                <w:rFonts w:ascii="Times New Roman" w:hAnsi="Times New Roman" w:cs="Times New Roman" w:eastAsia="Times New Roman"/>
                <w:b w:val="false"/>
                <w:sz w:val="26"/>
              </w:rPr>
              <w:t>20-11-2014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36/2013/QH13</w:t>
            </w:r>
          </w:p>
        </w:tc>
        <w:tc>
          <w:p/>
          <w:p>
            <w:pPr>
              <w:spacing w:after="0" w:before="0" w:lineRule="auto" w:line="276"/>
              <w:jc w:val="left"/>
            </w:pPr>
            <w:r>
              <w:rPr>
                <w:rFonts w:ascii="Times New Roman" w:hAnsi="Times New Roman" w:cs="Times New Roman" w:eastAsia="Times New Roman"/>
                <w:b w:val="false"/>
                <w:sz w:val="26"/>
              </w:rPr>
              <w:t>Luật</w:t>
            </w:r>
          </w:p>
        </w:tc>
        <w:tc>
          <w:p/>
          <w:p>
            <w:pPr>
              <w:spacing w:after="0" w:before="0" w:lineRule="auto" w:line="276"/>
              <w:jc w:val="left"/>
            </w:pPr>
            <w:r>
              <w:rPr>
                <w:rFonts w:ascii="Times New Roman" w:hAnsi="Times New Roman" w:cs="Times New Roman" w:eastAsia="Times New Roman"/>
                <w:b w:val="false"/>
                <w:sz w:val="26"/>
              </w:rPr>
              <w:t>20-06-2013</w:t>
            </w:r>
          </w:p>
        </w:tc>
        <w:tc>
          <w:p/>
        </w:tc>
      </w:tr>
      <w:tr>
        <w:tc>
          <w:p/>
          <w:p>
            <w:pPr>
              <w:spacing w:after="0" w:before="0" w:lineRule="auto" w:line="276"/>
              <w:jc w:val="left"/>
            </w:pPr>
            <w:r>
              <w:rPr>
                <w:rFonts w:ascii="Times New Roman" w:hAnsi="Times New Roman" w:cs="Times New Roman" w:eastAsia="Times New Roman"/>
                <w:b w:val="false"/>
                <w:sz w:val="26"/>
              </w:rPr>
              <w:t>31/2014/NĐ-CP</w:t>
            </w:r>
          </w:p>
        </w:tc>
        <w:tc>
          <w:p/>
          <w:p>
            <w:pPr>
              <w:spacing w:after="0" w:before="0" w:lineRule="auto" w:line="276"/>
              <w:jc w:val="left"/>
            </w:pPr>
            <w:r>
              <w:rPr>
                <w:rFonts w:ascii="Times New Roman" w:hAnsi="Times New Roman" w:cs="Times New Roman" w:eastAsia="Times New Roman"/>
                <w:b w:val="false"/>
                <w:sz w:val="26"/>
              </w:rPr>
              <w:t>Nghị định</w:t>
            </w:r>
          </w:p>
        </w:tc>
        <w:tc>
          <w:p/>
          <w:p>
            <w:pPr>
              <w:spacing w:after="0" w:before="0" w:lineRule="auto" w:line="276"/>
              <w:jc w:val="left"/>
            </w:pPr>
            <w:r>
              <w:rPr>
                <w:rFonts w:ascii="Times New Roman" w:hAnsi="Times New Roman" w:cs="Times New Roman" w:eastAsia="Times New Roman"/>
                <w:b w:val="false"/>
                <w:sz w:val="26"/>
              </w:rPr>
              <w:t>18-04-2014</w:t>
            </w:r>
          </w:p>
        </w:tc>
        <w:tc>
          <w:p/>
        </w:tc>
      </w:tr>
      <w:tr>
        <w:tc>
          <w:p/>
          <w:p>
            <w:pPr>
              <w:spacing w:after="0" w:before="0" w:lineRule="auto" w:line="276"/>
              <w:jc w:val="left"/>
            </w:pPr>
            <w:r>
              <w:rPr>
                <w:rFonts w:ascii="Times New Roman" w:hAnsi="Times New Roman" w:cs="Times New Roman" w:eastAsia="Times New Roman"/>
                <w:b w:val="false"/>
                <w:sz w:val="26"/>
              </w:rPr>
              <w:t>36/2014/TT-BCA</w:t>
            </w:r>
          </w:p>
        </w:tc>
        <w:tc>
          <w:p/>
          <w:p>
            <w:pPr>
              <w:spacing w:after="0" w:before="0" w:lineRule="auto" w:line="276"/>
              <w:jc w:val="left"/>
            </w:pPr>
            <w:r>
              <w:rPr>
                <w:rFonts w:ascii="Times New Roman" w:hAnsi="Times New Roman" w:cs="Times New Roman" w:eastAsia="Times New Roman"/>
                <w:b w:val="false"/>
                <w:sz w:val="26"/>
              </w:rPr>
              <w:t>Thông tư</w:t>
            </w:r>
          </w:p>
        </w:tc>
        <w:tc>
          <w:p/>
          <w:p>
            <w:pPr>
              <w:spacing w:after="0" w:before="0" w:lineRule="auto" w:line="276"/>
              <w:jc w:val="left"/>
            </w:pPr>
            <w:r>
              <w:rPr>
                <w:rFonts w:ascii="Times New Roman" w:hAnsi="Times New Roman" w:cs="Times New Roman" w:eastAsia="Times New Roman"/>
                <w:b w:val="false"/>
                <w:sz w:val="26"/>
              </w:rPr>
              <w:t>09-09-2014</w:t>
            </w:r>
          </w:p>
        </w:tc>
        <w:tc>
          <w:p/>
          <w:p>
            <w:pPr>
              <w:spacing w:after="0" w:before="0" w:lineRule="auto" w:line="276"/>
              <w:jc w:val="left"/>
            </w:pPr>
            <w:r>
              <w:rPr>
                <w:rFonts w:ascii="Times New Roman" w:hAnsi="Times New Roman" w:cs="Times New Roman" w:eastAsia="Times New Roman"/>
                <w:b w:val="false"/>
                <w:sz w:val="26"/>
              </w:rPr>
              <w:t>Bộ Công an</w:t>
            </w:r>
          </w:p>
        </w:tc>
      </w:tr>
      <w:tr>
        <w:tc>
          <w:p/>
          <w:p>
            <w:pPr>
              <w:spacing w:after="0" w:before="0" w:lineRule="auto" w:line="276"/>
              <w:jc w:val="left"/>
            </w:pPr>
            <w:r>
              <w:rPr>
                <w:rFonts w:ascii="Times New Roman" w:hAnsi="Times New Roman" w:cs="Times New Roman" w:eastAsia="Times New Roman"/>
                <w:b w:val="false"/>
                <w:sz w:val="26"/>
              </w:rPr>
              <w:t>81/2006/QH11</w:t>
            </w:r>
          </w:p>
        </w:tc>
        <w:tc>
          <w:p/>
          <w:p>
            <w:pPr>
              <w:spacing w:after="0" w:before="0" w:lineRule="auto" w:line="276"/>
              <w:jc w:val="left"/>
            </w:pPr>
            <w:r>
              <w:rPr>
                <w:rFonts w:ascii="Times New Roman" w:hAnsi="Times New Roman" w:cs="Times New Roman" w:eastAsia="Times New Roman"/>
                <w:b w:val="false"/>
                <w:sz w:val="26"/>
              </w:rPr>
              <w:t>Luật 81/2006/QH11</w:t>
            </w:r>
          </w:p>
        </w:tc>
        <w:tc>
          <w:p/>
          <w:p>
            <w:pPr>
              <w:spacing w:after="0" w:before="0" w:lineRule="auto" w:line="276"/>
              <w:jc w:val="left"/>
            </w:pPr>
            <w:r>
              <w:rPr>
                <w:rFonts w:ascii="Times New Roman" w:hAnsi="Times New Roman" w:cs="Times New Roman" w:eastAsia="Times New Roman"/>
                <w:b w:val="false"/>
                <w:sz w:val="26"/>
              </w:rPr>
              <w:t>29-11-2006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25/2008/QH12</w:t>
            </w:r>
          </w:p>
        </w:tc>
        <w:tc>
          <w:p/>
          <w:p>
            <w:pPr>
              <w:spacing w:after="0" w:before="0" w:lineRule="auto" w:line="276"/>
              <w:jc w:val="left"/>
            </w:pPr>
            <w:r>
              <w:rPr>
                <w:rFonts w:ascii="Times New Roman" w:hAnsi="Times New Roman" w:cs="Times New Roman" w:eastAsia="Times New Roman"/>
                <w:b w:val="false"/>
                <w:sz w:val="26"/>
              </w:rPr>
              <w:t>Luật 25/2008/QH12 - Bảo hiểm y tế</w:t>
            </w:r>
          </w:p>
        </w:tc>
        <w:tc>
          <w:p/>
          <w:p>
            <w:pPr>
              <w:spacing w:after="0" w:before="0" w:lineRule="auto" w:line="276"/>
              <w:jc w:val="left"/>
            </w:pPr>
            <w:r>
              <w:rPr>
                <w:rFonts w:ascii="Times New Roman" w:hAnsi="Times New Roman" w:cs="Times New Roman" w:eastAsia="Times New Roman"/>
                <w:b w:val="false"/>
                <w:sz w:val="26"/>
              </w:rPr>
              <w:t>14-11-2008</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46/2014/QH13</w:t>
            </w:r>
          </w:p>
        </w:tc>
        <w:tc>
          <w:p/>
          <w:p>
            <w:pPr>
              <w:spacing w:after="0" w:before="0" w:lineRule="auto" w:line="276"/>
              <w:jc w:val="left"/>
            </w:pPr>
            <w:r>
              <w:rPr>
                <w:rFonts w:ascii="Times New Roman" w:hAnsi="Times New Roman" w:cs="Times New Roman" w:eastAsia="Times New Roman"/>
                <w:b w:val="false"/>
                <w:sz w:val="26"/>
              </w:rPr>
              <w:t>Luật 46/2014/QH13</w:t>
            </w:r>
          </w:p>
        </w:tc>
        <w:tc>
          <w:p/>
          <w:p>
            <w:pPr>
              <w:spacing w:after="0" w:before="0" w:lineRule="auto" w:line="276"/>
              <w:jc w:val="left"/>
            </w:pPr>
            <w:r>
              <w:rPr>
                <w:rFonts w:ascii="Times New Roman" w:hAnsi="Times New Roman" w:cs="Times New Roman" w:eastAsia="Times New Roman"/>
                <w:b w:val="false"/>
                <w:sz w:val="26"/>
              </w:rPr>
              <w:t>13-06-2014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05/2015/TTLT-BTP-BCA-BYT</w:t>
            </w:r>
          </w:p>
        </w:tc>
        <w:tc>
          <w:p/>
          <w:p>
            <w:pPr>
              <w:spacing w:after="0" w:before="0" w:lineRule="auto" w:line="276"/>
              <w:jc w:val="left"/>
            </w:pPr>
            <w:r>
              <w:rPr>
                <w:rFonts w:ascii="Times New Roman" w:hAnsi="Times New Roman" w:cs="Times New Roman" w:eastAsia="Times New Roman"/>
                <w:b w:val="false"/>
                <w:sz w:val="26"/>
              </w:rPr>
              <w:t>Thông tư liên tich 05/2015/TTLT-BTP-BCA-BYT</w:t>
            </w:r>
          </w:p>
        </w:tc>
        <w:tc>
          <w:p/>
          <w:p>
            <w:pPr>
              <w:spacing w:after="0" w:before="0" w:lineRule="auto" w:line="276"/>
              <w:jc w:val="left"/>
            </w:pPr>
            <w:r>
              <w:rPr>
                <w:rFonts w:ascii="Times New Roman" w:hAnsi="Times New Roman" w:cs="Times New Roman" w:eastAsia="Times New Roman"/>
                <w:b w:val="false"/>
                <w:sz w:val="26"/>
              </w:rPr>
              <w:t>15-05-2015</w:t>
            </w:r>
          </w:p>
        </w:tc>
        <w:tc>
          <w:p/>
          <w:p>
            <w:pPr>
              <w:spacing w:after="0" w:before="0" w:lineRule="auto" w:line="276"/>
              <w:jc w:val="left"/>
            </w:pPr>
            <w:r>
              <w:rPr>
                <w:rFonts w:ascii="Times New Roman" w:hAnsi="Times New Roman" w:cs="Times New Roman" w:eastAsia="Times New Roman"/>
                <w:b w:val="false"/>
                <w:sz w:val="26"/>
              </w:rPr>
              <w:t>Bộ Tư pháp</w:t>
            </w:r>
          </w:p>
        </w:tc>
      </w:tr>
      <w:tr>
        <w:tc>
          <w:p/>
          <w:p>
            <w:pPr>
              <w:spacing w:after="0" w:before="0" w:lineRule="auto" w:line="276"/>
              <w:jc w:val="left"/>
            </w:pPr>
            <w:r>
              <w:rPr>
                <w:rFonts w:ascii="Times New Roman" w:hAnsi="Times New Roman" w:cs="Times New Roman" w:eastAsia="Times New Roman"/>
                <w:b w:val="false"/>
                <w:sz w:val="26"/>
              </w:rPr>
              <w:t>146/2018/NĐ-CP</w:t>
            </w:r>
          </w:p>
        </w:tc>
        <w:tc>
          <w:p/>
          <w:p>
            <w:pPr>
              <w:spacing w:after="0" w:before="0" w:lineRule="auto" w:line="276"/>
              <w:jc w:val="left"/>
            </w:pPr>
            <w:r>
              <w:rPr>
                <w:rFonts w:ascii="Times New Roman" w:hAnsi="Times New Roman" w:cs="Times New Roman" w:eastAsia="Times New Roman"/>
                <w:b w:val="false"/>
                <w:sz w:val="26"/>
              </w:rPr>
              <w:t>Quy định chi tiết và hướng dẫn biện pháp thi hành một số điều của Luật bảo hiểm y tế</w:t>
            </w:r>
          </w:p>
        </w:tc>
        <w:tc>
          <w:p/>
          <w:p>
            <w:pPr>
              <w:spacing w:after="0" w:before="0" w:lineRule="auto" w:line="276"/>
              <w:jc w:val="left"/>
            </w:pPr>
            <w:r>
              <w:rPr>
                <w:rFonts w:ascii="Times New Roman" w:hAnsi="Times New Roman" w:cs="Times New Roman" w:eastAsia="Times New Roman"/>
                <w:b w:val="false"/>
                <w:sz w:val="26"/>
              </w:rPr>
              <w:t>17-10-2018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123/2015/NĐ-CP</w:t>
            </w:r>
          </w:p>
        </w:tc>
        <w:tc>
          <w:p/>
          <w:p>
            <w:pPr>
              <w:spacing w:after="0" w:before="0" w:lineRule="auto" w:line="276"/>
              <w:jc w:val="left"/>
            </w:pPr>
            <w:r>
              <w:rPr>
                <w:rFonts w:ascii="Times New Roman" w:hAnsi="Times New Roman" w:cs="Times New Roman" w:eastAsia="Times New Roman"/>
                <w:b w:val="false"/>
                <w:sz w:val="26"/>
              </w:rPr>
              <w:t>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15-11-2015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15/2015/TT-BTP</w:t>
            </w:r>
          </w:p>
        </w:tc>
        <w:tc>
          <w:p/>
          <w:p>
            <w:pPr>
              <w:spacing w:after="0" w:before="0" w:lineRule="auto" w:line="276"/>
              <w:jc w:val="left"/>
            </w:pPr>
            <w:r>
              <w:rPr>
                <w:rFonts w:ascii="Times New Roman" w:hAnsi="Times New Roman" w:cs="Times New Roman" w:eastAsia="Times New Roman"/>
                <w:b w:val="false"/>
                <w:sz w:val="26"/>
              </w:rPr>
              <w:t>Quy định chi tiết thi hành một số điều của Luật hộ tịch và Nghị định số 123/2015/NĐ-CP ngày 15 tháng 11 năm 2015 của Chính phủ 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16-11-2015</w:t>
            </w:r>
          </w:p>
        </w:tc>
        <w:tc>
          <w:p/>
          <w:p>
            <w:pPr>
              <w:spacing w:after="0" w:before="0" w:lineRule="auto" w:line="276"/>
              <w:jc w:val="left"/>
            </w:pPr>
            <w:r>
              <w:rPr>
                <w:rFonts w:ascii="Times New Roman" w:hAnsi="Times New Roman" w:cs="Times New Roman" w:eastAsia="Times New Roman"/>
                <w:b w:val="false"/>
                <w:sz w:val="26"/>
              </w:rPr>
              <w:t>Bộ Tư pháp</w:t>
            </w:r>
          </w:p>
        </w:tc>
      </w:tr>
      <w:tr>
        <w:tc>
          <w:p/>
          <w:p>
            <w:pPr>
              <w:spacing w:after="0" w:before="0" w:lineRule="auto" w:line="276"/>
              <w:jc w:val="left"/>
            </w:pPr>
            <w:r>
              <w:rPr>
                <w:rFonts w:ascii="Times New Roman" w:hAnsi="Times New Roman" w:cs="Times New Roman" w:eastAsia="Times New Roman"/>
                <w:b w:val="false"/>
                <w:sz w:val="26"/>
              </w:rPr>
              <w:t>28/2024/NQ-HĐND</w:t>
            </w:r>
          </w:p>
        </w:tc>
        <w:tc>
          <w:p/>
          <w:p>
            <w:pPr>
              <w:spacing w:after="0" w:before="0" w:lineRule="auto" w:line="276"/>
              <w:jc w:val="left"/>
            </w:pPr>
            <w:r>
              <w:rPr>
                <w:rFonts w:ascii="Times New Roman" w:hAnsi="Times New Roman" w:cs="Times New Roman" w:eastAsia="Times New Roman"/>
                <w:b w:val="false"/>
                <w:sz w:val="26"/>
              </w:rPr>
              <w:t>Nghị quyết 28/2024/NQ-HĐND ngày 10/7/2024 của Hội đồng nhân dân tỉnh Thanh Hóa ban hành quy định mức thu, miễn, giảm, thu, nộp, quản lý và sử dụng các khoản phí, lệ phí thuộc thẩm quyền của Hội đồng nhân tỉnh</w:t>
            </w:r>
          </w:p>
        </w:tc>
        <w:tc>
          <w:p/>
          <w:p>
            <w:pPr>
              <w:spacing w:after="0" w:before="0" w:lineRule="auto" w:line="276"/>
              <w:jc w:val="left"/>
            </w:pPr>
            <w:r>
              <w:rPr>
                <w:rFonts w:ascii="Times New Roman" w:hAnsi="Times New Roman" w:cs="Times New Roman" w:eastAsia="Times New Roman"/>
                <w:b w:val="false"/>
                <w:sz w:val="26"/>
              </w:rPr>
              <w:t>10-07-2024</w:t>
            </w:r>
          </w:p>
        </w:tc>
        <w:tc>
          <w:p/>
          <w:p>
            <w:pPr>
              <w:spacing w:after="0" w:before="0" w:lineRule="auto" w:line="276"/>
              <w:jc w:val="left"/>
            </w:pPr>
            <w:r>
              <w:rPr>
                <w:rFonts w:ascii="Times New Roman" w:hAnsi="Times New Roman" w:cs="Times New Roman" w:eastAsia="Times New Roman"/>
                <w:b w:val="false"/>
                <w:sz w:val="26"/>
              </w:rPr>
              <w:t>Hội đồng nhân dân tỉnh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Việc đăng ký khai sinh cho trẻ em dưới 6 tuổi thuộc thẩm quyền giải quyết của Ủy ban nhân dân cấp xã.
- Các cơ quan có thẩm quyền thực hiện liên thông các thủ tục hành chính phải cùng thuộc địa bàn một huyện, thị xã, thành phố thuộc tỉnh của tỉnh hoặc cùng thuộc địa bàn một quận, huyện, thị xã của thành phố trực thuộc trung ương.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2026-05-20T08:00:43Z</dcterms:created>
  <dc:creator>Apache POI</dc:creator>
</cp:coreProperties>
</file>