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1.003337.000.00.00.H32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Ủy quyền hưởng trợ cấp, phụ cấp ưu đãi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đang hưởng trợ cấp, phụ cấp ưu đãi nếu không có điều kiện trực tiếp nhận trợ cấp, phụ cấp thì phải lập giấy ủy quyền</w:t>
      </w:r>
    </w:p>
    <w:p>
      <w:pPr>
        <w:spacing w:after="0" w:before="0" w:lineRule="auto" w:line="276"/>
        <w:jc w:val="both"/>
      </w:pPr>
      <w:r>
        <w:rPr>
          <w:rFonts w:ascii="Times New Roman" w:hAnsi="Times New Roman" w:cs="Times New Roman" w:eastAsia="Times New Roman"/>
          <w:b w:val="false"/>
          <w:sz w:val="26"/>
        </w:rPr>
        <w:t>Bước 2: Ủy ban nhân dân xã tiếp nhận và xác nhận vào giấy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ủy quyền hưởng trợ cấp, phụ cấp ưu đãi có xác nhận của ủy ban nhân dân xã (có thời hạn 03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2026-05-07T23:54:46Z</dcterms:created>
  <dc:creator>Apache POI</dc:creator>
</cp:coreProperties>
</file>