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Ủy ban nhân dân cấp xã nơi trẻ em được nhận làm con nuôi thường trú;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 Ủy ban nhân dân cấp xã khai thác, sử dụng thông tin trên các cơ sở dữ liệu để thay thế thành phần hồ sơ của người được nhận làm con nuôi, cụ thể:
+) Thông tin trên Cơ sở dữ liệu hộ tịch điện tử để thay thế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 Công chức cấp xã kiểm tra hồ sơ, lấy ý kiến của những người liên quan và có văn bản gửi Sở Tư pháp kèm theo 01 bộ hồ sơ của người nhận con nuôi và của trẻ em để xin ý kiến;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Lệ phí : 4.500.000 Đồng</w:t>
            </w:r>
          </w:p>
        </w:tc>
        <w:tc>
          <w:p/>
          <w:p>
            <w:pPr>
              <w:spacing w:after="0" w:before="0" w:lineRule="auto" w:line="276"/>
              <w:jc w:val="left"/>
            </w:pPr>
            <w:r>
              <w:rPr>
                <w:rFonts w:ascii="Times New Roman" w:hAnsi="Times New Roman" w:cs="Times New Roman" w:eastAsia="Times New Roman"/>
                <w:b w:val="false"/>
                <w:sz w:val="26"/>
              </w:rPr>
              <w:t>Trong thời hạn 33 ngày làm việc,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8 ngày làm việc, kể từ ngày nhận được văn bản của UBND cấp xã;
- Đăng ký việc nuôi con nuôi và giao -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Lệ phí : 4.500.000 Đồng</w:t>
            </w:r>
          </w:p>
        </w:tc>
        <w:tc>
          <w:p/>
          <w:p>
            <w:pPr>
              <w:spacing w:after="0" w:before="0" w:lineRule="auto" w:line="276"/>
              <w:jc w:val="left"/>
            </w:pPr>
            <w:r>
              <w:rPr>
                <w:rFonts w:ascii="Times New Roman" w:hAnsi="Times New Roman" w:cs="Times New Roman" w:eastAsia="Times New Roman"/>
                <w:b w:val="false"/>
                <w:sz w:val="26"/>
              </w:rPr>
              <w:t>Trong thời hạn 33 ngày làm việc,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8 ngày làm việc, kể từ ngày nhận được văn bản của UBND cấp xã;
- Đăng ký việc nuôi con nuôi và giao -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Lệ phí : 4.500.000 Đồng</w:t>
            </w:r>
          </w:p>
        </w:tc>
        <w:tc>
          <w:p/>
          <w:p>
            <w:pPr>
              <w:spacing w:after="0" w:before="0" w:lineRule="auto" w:line="276"/>
              <w:jc w:val="left"/>
            </w:pPr>
            <w:r>
              <w:rPr>
                <w:rFonts w:ascii="Times New Roman" w:hAnsi="Times New Roman" w:cs="Times New Roman" w:eastAsia="Times New Roman"/>
                <w:b w:val="false"/>
                <w:sz w:val="26"/>
              </w:rPr>
              <w:t>Trong thời hạn 33 ngày làm việc,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8 ngày làm việc, kể từ ngày nhận được văn bản của UBND cấp xã;
- Đăng ký việc nuôi con nuôi và giao -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nơi trẻ em được nhận làm con nuôi thường trú; - Trực tuyến trên Cổng dịch vụ công Quốc gia (một phần) tại địa chỉ: https://dichvucong.gov.vn. - Bộ phận tiếp nhận và trả kết quả của Sở Tư pháp tại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98/2022/NĐ-CP</w:t>
            </w:r>
          </w:p>
        </w:tc>
        <w:tc>
          <w:p/>
          <w:p>
            <w:pPr>
              <w:spacing w:after="0" w:before="0" w:lineRule="auto" w:line="276"/>
              <w:jc w:val="left"/>
            </w:pPr>
            <w:r>
              <w:rPr>
                <w:rFonts w:ascii="Times New Roman" w:hAnsi="Times New Roman" w:cs="Times New Roman" w:eastAsia="Times New Roman"/>
                <w:b w:val="false"/>
                <w:sz w:val="26"/>
              </w:rPr>
              <w:t>Nghị định số 98/2022/NĐ-CP ngày 29 tháng 11 năm 2022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29-11-2022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số 07/2023/TT-BTP</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2026-05-20T08:01:47Z</dcterms:created>
  <dc:creator>Apache POI</dc:creator>
</cp:coreProperties>
</file>