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trợ cấp một lần đối với quân nhân tham gia kháng chiến chống Mỹ cứu nước có dưới 15 năm công tác trong quân đội đã phục viên, xuất ngũ về địa phương (đối tượng cư trú ở địa phương khác không còn lưu giữ được giấy tờ)</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làm tờ khai theo mẫu quy định và bản photo chứng minh thư nhân dân, gửi Uỷ ban nhân dân xã, phường nơi sinh quán.</w:t>
      </w:r>
    </w:p>
    <w:p>
      <w:pPr>
        <w:spacing w:after="0" w:before="0" w:lineRule="auto" w:line="276"/>
        <w:jc w:val="both"/>
      </w:pPr>
      <w:r>
        <w:rPr>
          <w:rFonts w:ascii="Times New Roman" w:hAnsi="Times New Roman" w:cs="Times New Roman" w:eastAsia="Times New Roman"/>
          <w:b w:val="false"/>
          <w:sz w:val="26"/>
        </w:rPr>
        <w:t>Uỷ ban nhân dân xã, phường nơi sinh quán của đối tượng:
- Tiếp nhận hồ sơ, chuyển Trưởng thôn để tổ chức hội nghị liên tịch xem xét , xác nhận cho đối tượng.
- Ban Chỉ huy quân sự xã, đề nghị Ban chấp hành Hội Cựu chiến binh họp xem xét, xác nhận đối tượng.
- Hội đồng chính sách xã, phường họp công khai xét duyệt đối với đối tượng do Ban chấp hành Hội Cựu chiến binh đã cho ý kiến bằng văn bản.
- Trong thời gian 45 ngày phải trả lời đối tượng (kèm theo văn bản) để địa phương nơi đối tượng đăng ký hộ khẩu thường trú xét duyệt và đề nghị hưởng chế độ.
Uỷ ban nhân dân xã, phường nơi đăng ký hộ khẩu thường trú: tiếp nhận hồ sơ, xét duyệt và đề nghị hưởng chế độ.</w:t>
      </w:r>
    </w:p>
    <w:p>
      <w:pPr>
        <w:spacing w:after="0" w:before="0" w:lineRule="auto" w:line="276"/>
        <w:jc w:val="both"/>
      </w:pPr>
      <w:r>
        <w:rPr>
          <w:rFonts w:ascii="Times New Roman" w:hAnsi="Times New Roman" w:cs="Times New Roman" w:eastAsia="Times New Roman"/>
          <w:b w:val="false"/>
          <w:sz w:val="26"/>
        </w:rPr>
        <w:t>UBND huyện (quận):
- Chỉ đạo Ban Chỉ huy quân sự huyện (quận) phối hợp với các cơ quan chức năng tổ chức xét duyệt thẩm định, tổng hợp và báo cáo UBND tỉnh, thành phố (qua Bộ Chỉ huy quân sự tỉnh, thành phố).
- Chỉ đạo tiến hành chi trả chế độ cho đối tượng.</w:t>
      </w:r>
    </w:p>
    <w:p>
      <w:pPr>
        <w:spacing w:after="0" w:before="0" w:lineRule="auto" w:line="276"/>
        <w:jc w:val="both"/>
      </w:pPr>
      <w:r>
        <w:rPr>
          <w:rFonts w:ascii="Times New Roman" w:hAnsi="Times New Roman" w:cs="Times New Roman" w:eastAsia="Times New Roman"/>
          <w:b w:val="false"/>
          <w:sz w:val="26"/>
        </w:rPr>
        <w:t>UBND tỉnh (thành phố):
Chỉ đạo Bộ Chỉ huy quân sự tỉnh (thành phố) phối hợp với các cơ quan chức năng tổ chức xét duyệt thẩm định, tổng hợp danh sách báo cáo Quân khu (qua Cục Chính trị).</w:t>
      </w:r>
    </w:p>
    <w:p>
      <w:pPr>
        <w:spacing w:after="0" w:before="0" w:lineRule="auto" w:line="276"/>
        <w:jc w:val="both"/>
      </w:pPr>
      <w:r>
        <w:rPr>
          <w:rFonts w:ascii="Times New Roman" w:hAnsi="Times New Roman" w:cs="Times New Roman" w:eastAsia="Times New Roman"/>
          <w:b w:val="false"/>
          <w:sz w:val="26"/>
        </w:rPr>
        <w:t>Bộ Tư lệnh Quân khu:
- Tổ chức xét duyệt, tổng hợp danh sách của các tỉnh (thành phố), báo cáo Bộ Quốc phòng (qua Cục Chính sách) để thẩm định, tổng hợp.
- Sau khi có kết quả thẩm định của Cục Chính sách, Bộ Tư lệnh Quân khu ra quyết định hưởng chế độ cho đối tượng.</w:t>
      </w:r>
    </w:p>
    <w:p>
      <w:pPr>
        <w:spacing w:after="0" w:before="0" w:lineRule="auto" w:line="276"/>
        <w:jc w:val="both"/>
      </w:pPr>
      <w:r>
        <w:rPr>
          <w:rFonts w:ascii="Times New Roman" w:hAnsi="Times New Roman" w:cs="Times New Roman" w:eastAsia="Times New Roman"/>
          <w:b w:val="false"/>
          <w:sz w:val="26"/>
        </w:rPr>
        <w:t>Cục Chính sách-Tổng cục Chính trị:
- Thẩm định, kiểm tra kết quả xét duyệt, quyết định (kèm theo danh sách) của các quân khu.
- Tổng hợp, báo cáo Thủ trưởng Tổng cục Chính trị đề nghị Bộ Tài chính bảo đảm kinh phí.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Trực tiếp hoặc gửi hồ sơ đến UBND xã (phường) nơi sinh quán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hoặc Bản khai của thân nhân (đối với đối tượng đã từ trần)</w:t>
            </w:r>
          </w:p>
        </w:tc>
        <w:tc>
          <w:p/>
          <w:p>
            <w:pPr>
              <w:spacing w:after="0" w:before="0" w:lineRule="auto" w:line="276"/>
              <w:jc w:val="left"/>
            </w:pPr>
            <w:r>
              <w:rPr>
                <w:rFonts w:ascii="Times New Roman" w:hAnsi="Times New Roman" w:cs="Times New Roman" w:eastAsia="Times New Roman"/>
                <w:b w:val="false"/>
                <w:sz w:val="26"/>
              </w:rPr>
              <w:t>MU1C.docx</w:t>
            </w:r>
          </w:p>
          <w:p>
            <w:pPr>
              <w:spacing w:after="0" w:before="0" w:lineRule="auto" w:line="276"/>
              <w:jc w:val="left"/>
            </w:pPr>
            <w:r>
              <w:rPr>
                <w:rFonts w:ascii="Times New Roman" w:hAnsi="Times New Roman" w:cs="Times New Roman" w:eastAsia="Times New Roman"/>
                <w:b w:val="false"/>
                <w:sz w:val="26"/>
              </w:rPr>
              <w:t>MU1B.docx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chứng minh thư nhân dân (có xác nhận của Uỷ ban nhân dân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xem xét và xác nhận của Hội nghị liên tịch thôn, xóm, tổ dân phố;</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Ban chấp hành Hội Cựu chiến binh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các cấp</w:t>
            </w:r>
          </w:p>
        </w:tc>
        <w:tc>
          <w:p/>
          <w:p>
            <w:pPr>
              <w:spacing w:after="0" w:before="0" w:lineRule="auto" w:line="276"/>
              <w:jc w:val="left"/>
            </w:pPr>
            <w:r>
              <w:rPr>
                <w:rFonts w:ascii="Times New Roman" w:hAnsi="Times New Roman" w:cs="Times New Roman" w:eastAsia="Times New Roman"/>
                <w:b w:val="false"/>
                <w:sz w:val="26"/>
              </w:rPr>
              <w:t>Mẫu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đối tượng được hưởng chế độ trợ cấp một lần</w:t>
            </w:r>
          </w:p>
        </w:tc>
        <w:tc>
          <w:p/>
          <w:p>
            <w:pPr>
              <w:spacing w:after="0" w:before="0" w:lineRule="auto" w:line="276"/>
              <w:jc w:val="left"/>
            </w:pPr>
            <w:r>
              <w:rPr>
                <w:rFonts w:ascii="Times New Roman" w:hAnsi="Times New Roman" w:cs="Times New Roman" w:eastAsia="Times New Roman"/>
                <w:b w:val="false"/>
                <w:sz w:val="26"/>
              </w:rPr>
              <w:t>Mẫu 6b.docx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xét duyệt và đề nghị của Bộ Chỉ huy quân sự tỉnh, thành phố</w:t>
            </w:r>
          </w:p>
        </w:tc>
        <w:tc>
          <w:p/>
          <w:p>
            <w:pPr>
              <w:spacing w:after="0" w:before="0" w:lineRule="auto" w:line="276"/>
              <w:jc w:val="left"/>
            </w:pPr>
            <w:r>
              <w:rPr>
                <w:rFonts w:ascii="Times New Roman" w:hAnsi="Times New Roman" w:cs="Times New Roman" w:eastAsia="Times New Roman"/>
                <w:b w:val="false"/>
                <w:sz w:val="26"/>
              </w:rPr>
              <w:t>Mẫu 5a.docx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xã (phường) nơi sinh quán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Bảo hiểm xã hội cấp huyện, Phòng Lao động - Thương binh và Xã hội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quân nhân tham gia kháng chiến chống Mỹ cứu nước theo Quyết định số 142/2008/QĐ-TTg ngày 27/10/2008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142/2008/QĐ-TTg</w:t>
            </w:r>
          </w:p>
        </w:tc>
        <w:tc>
          <w:p/>
          <w:p>
            <w:pPr>
              <w:spacing w:after="0" w:before="0" w:lineRule="auto" w:line="276"/>
              <w:jc w:val="left"/>
            </w:pPr>
            <w:r>
              <w:rPr>
                <w:rFonts w:ascii="Times New Roman" w:hAnsi="Times New Roman" w:cs="Times New Roman" w:eastAsia="Times New Roman"/>
                <w:b w:val="false"/>
                <w:sz w:val="26"/>
              </w:rPr>
              <w:t>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27-10-2008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144/2008/TTLT-BQP-BLĐTBXH-BTC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142/2008/QĐ-TTg ngày 27 tháng 10 năm 2008 của Thủ tướng Chính phủ 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27-11-2008</w:t>
            </w:r>
          </w:p>
        </w:tc>
        <w:tc>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và điều kiện áp dụng:
Quân nhân tham gia kháng chiến chống Mỹ cứu nước, nhập ngũ từ ngày 30/4/1975 trở về trước, có dưới 15 năm công tác trong quân đội đã phục viên, xuất ngũ về địa phương, hiện không thuộc diện hưởng chế độ hưu trí, chế độ mất sức lao động hoặc chế độ bệnh binh hàng tháng, thuộc một trong các trường hợp sau đây:
-	Đã phục viên, xuất ngũ về địa phương;
-	Đã chuyển ngành rồi thôi việc;
-	Đã phục viên, xuất ngũ một thời gian rồi tiếp tục công tác (tái ngũ, làm việc ở cơ quan, đơn vị, tổ chức ngoài quân đội), sau đó lại phục viên, xuất ngũ, thôi việc.
Thông tư liên tịch số 144/2008/TTLT-BQP-BLĐTBXH-BTC ngày 27/11/2008 của Bộ Quốc phòng, Bộ Lao động Thương binh và Xã hội, Bộ Tài chính hướng dẫn thực hiện Quyết định số 142/2008/QĐ-TTg ngày 27/10/2008 của Thủ tướng Chính phủ về chế độ đối với quân nhân tham gia kháng chiến chống Mỹ cứu nước có dưới 20 năm công tác trong quân đội đã phục viên, xuất ngũ về địa phương.
b)	Đối tượng không áp dụng:
-	Những người thuộc đối tượng nêu trên nhưng hiện đang hưởng chế độ hưu trí, chế độ mất sức lao động hoặc chế độ bệnh binh hàng tháng; hoặc hiện đang công tác hưởng lương từ ngân sách Nhà nước có tham gia bảo hiểm xã hội bắt buộc;
-	Những người phản bội, đầu hàng địch; người vi phạm kỷ luật bị tước danh hiệu quân nhân; người tính đến ngày Quyết định số 142/2008/QĐ-TTg có hiệu lực thi hành mà đang chấp hành án tù chung thân hoặc bị kết án một trong các tội xâm phạm an ninh quốc gia mà chưa được xoá án tích;
-	Người xuất cảnh ra nước ngoài (bao gồm cả người đi lao động hợp tác quốc tế) và ở lại nước ngoài bất hợp pháp;
-	Người đã hưởng chế độ trợ cấp một lần quy định tại điểm a khoản 1 Điều 1 Quyết định số 290/2005/QĐ-TTg ngày 08/11/2005; khoản 2 Điều 1 Quyết định số 92/2005/QĐ- TTg ngày 29/4/2005 của Thủ tướng Chính phủ;
-	Người đã từ trần nhưng không còn vợ hoặc chồng; bố đẻ, mẹ đẻ; con đẻ, con nuôi hoặc người nuôi dưỡng hợp pháp.
Thông tư liên tịch số 144/2008/TTLT-BQP-BLĐTBXH-BTC ngày 27/11/2008 của Bộ Quốc phòng, Bộ Lao động Thương binh và Xã hội, Bộ Tài chính hướng dẫn thực hiện Quyết định số 142/2008/QĐ-TTg ngày 27/10/2008 của Thủ tướng Chính phủ về chế độ đối với quân nhân tham gia kháng chiến chống Mỹ cứu nước có dưới 20 năm công tác trong quân đội đã phục viên, xuất ngũ về địa phương.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2026-05-23T17:00:51Z</dcterms:created>
  <dc:creator>Apache POI</dc:creator>
</cp:coreProperties>
</file>