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nhập khẩu văn hóa phẩm (trừ di vật, cổ vật) không nhằm mục đích kinh doanh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chuyên môn về văn hóa thuộc Ủy ban nhân dân cấp tỉnh (Sở Văn
hóa, Thể thao và Du lịch/ Sở Văn hóa và Thể thao) có thẩm quyền tiếp nhận Thông
báo nhập khẩu văn hóa phẩm không nhằm mục đích kinh doanh trong các trường
hợp quy định tại khoản 1, khoản 2 Điều 8 Nghị định số 32/2012/NĐ-CP ngày 12
tháng 4 năm 2012 của Chính phủ về quản lý xuất nhập khẩu văn hóa phẩm không
nhằm mục đích kinh doanh, được sửa đổi, bổ sung bởi khoản 6 Điều 1 Nghị định
số 31/2025/NĐ-CP ngày 24 tháng 2 năm 2025 của Chính phủ. Các văn hóa phẩm
gồm:
+ Tác phẩm mỹ thuật, tác phẩm mỹ thuật ứng dụng, tác phẩm nhiếp ảnh
không nhằm mục đích kinh doanh;
+ Bản ghi âm, ghi hình về nghệ thuật biểu diễn không nhằm mục đích kinh.
- Cá nhân, tổ chức có văn hóa phẩm (trừ di vật, cổ vật) nhập khẩu trong các
trường hợp trên nộp 01 bộ hồ sơ thông báo nhập khẩu văn hóa phẩm không nhằm
mục đích kinh doanh đến Sở VHTTDL/Sở VHTT.
- Sở VHTTDL/Sở VHTT khi tiếp nhận Thông báo có trách nhiệm kiểm tra
nội dung văn hóa phẩm theo quy định tại khoản 1 Điều 6 Nghị định số
32/2012/NĐ-CP và cấp ngay Giấy biên nhận thông báo nhập khẩu văn hóa phẩm
cho người nộp hồ sơ theo Phụ lục IV kèm theo Nghị định số 31/2025/NĐ-CP.
- Trường hợp phát hiện văn hóa phẩm cấm xuất khẩu, cấm nhập khẩu theo
quy định tại khoản 1 Điều 6 Nghị định 32/2012/NĐ-CP, trong thời hạn 02 ngày
làm việc, kể từ ngày nhận hồ sơ đúng theo quy định, Sở VHTTDL/Sở VHTT gửi
cho cơ quan Hải quan và cá nhân, tổ chức Thông báo dừng nhập khẩu văn hóa
phẩm theo Phụ lục V kèm theo Nghị định 31/2025/NĐ-CP.
- Giấy biên nhận thông báo nhập khẩu văn hóa phẩm mà không có Thông
báo dừng nhập khẩu văn hóa phẩm của Sở VHTTDL/Sở VHTT là căn cứ để cơ
quan Hải quan làm thủ tục nhập khẩu văn hóa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ngay Giấy biên nhận thông báo nhập khẩu văn hóa phẩm cho người nộp hồ sơ.
- Trường hợp phát hiện văn hóa phẩm cấm nhập khẩu, trong thời hạn 02 ngày làm việc, kể từ ngày cấp Giấy biên nhận, Sở VHTTDL gửi cho cơ quan Hải quan và cá nhân, tổ chức Thông báo dừng nhập khẩu văn hóa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ngay Giấy biên nhận thông báo nhập khẩu văn hóa phẩm cho người nộp hồ sơ.
- Trường hợp phát hiện văn hóa phẩm cấm nhập khẩu, trong thời hạn 02 ngày làm việc, kể từ ngày cấp Giấy biên nhận, Sở VHTTDL gửi cho cơ quan Hải quan và cá nhân, tổ chức Thông báo dừng nhập khẩu văn hóa phẩm.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hợp lệ;
Trường hợp không cấp giấy phép phải có văn bản nêu rõ lý do. Thời gian giám định văn hóa phẩm nhập khẩu tối đa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nhập khẩu văn hóa phẩm theo Phụ lục III kèm theo Nghị định 31/2025/NĐ-CP.</w:t>
            </w:r>
          </w:p>
        </w:tc>
        <w:tc>
          <w:p/>
          <w:p>
            <w:pPr>
              <w:spacing w:after="0" w:before="0" w:lineRule="auto" w:line="276"/>
              <w:jc w:val="left"/>
            </w:pPr>
            <w:r>
              <w:rPr>
                <w:rFonts w:ascii="Times New Roman" w:hAnsi="Times New Roman" w:cs="Times New Roman" w:eastAsia="Times New Roman"/>
                <w:b w:val="false"/>
                <w:sz w:val="26"/>
              </w:rPr>
              <w:t>Cacmaudon.doc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01 ảnh chụp mặt trước, chính giữa văn hóa phẩm; đối với tác phẩm điêu khắc bổ sung 01 ảnh chụp từng mặt: bên trái, bên phải và phía sau tác phẩm, có chú thích, kích thước ảnh nhỏ nhất 13 x 18 cm, được in trên giấy hoặc ghi vào thiết bị lưu trữ di động (đối với trường hợp nộp trực tiếp hoặc nộp qua bưu chính) hoặc ảnh định dạng số (đối với trường hợp nộp qua môi trường điện tử, nộp qua Cổng thông tin một cửa quốc gia). Bản dịch công chứng chi tiết nội dung đối với bản ghi âm, ghi hình có sử dụng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vận đơn hoặc giấy báo nhận hàng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Sở Văn hóa, Thể thao và Du lịch Thanh Hóa tại Trung tâm hành chính công tỉnh Thanh Hóa, số 28 Đại lộ Lê Lợi, phường Điện Biên, thành phố Thanh Hóa, Tỉnh Thanh Hóa.;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nhập khẩu văn hóa phẩm, Giấy biên nhận thông báo nhập khẩu văn hóa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07/2012/TT-BVHTTDL</w:t>
            </w:r>
          </w:p>
        </w:tc>
        <w:tc>
          <w:p/>
          <w:p>
            <w:pPr>
              <w:spacing w:after="0" w:before="0" w:lineRule="auto" w:line="276"/>
              <w:jc w:val="left"/>
            </w:pPr>
            <w:r>
              <w:rPr>
                <w:rFonts w:ascii="Times New Roman" w:hAnsi="Times New Roman" w:cs="Times New Roman" w:eastAsia="Times New Roman"/>
                <w:b w:val="false"/>
                <w:sz w:val="26"/>
              </w:rPr>
              <w:t>Thông tư 07/2012/TT-BVHTTDL</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22/2018/TT-BVHTTDL</w:t>
            </w:r>
          </w:p>
        </w:tc>
        <w:tc>
          <w:p/>
          <w:p>
            <w:pPr>
              <w:spacing w:after="0" w:before="0" w:lineRule="auto" w:line="276"/>
              <w:jc w:val="left"/>
            </w:pPr>
            <w:r>
              <w:rPr>
                <w:rFonts w:ascii="Times New Roman" w:hAnsi="Times New Roman" w:cs="Times New Roman" w:eastAsia="Times New Roman"/>
                <w:b w:val="false"/>
                <w:sz w:val="26"/>
              </w:rPr>
              <w:t>Thông tư 22/2018/TT-BVHTTDL</w:t>
            </w:r>
          </w:p>
        </w:tc>
        <w:tc>
          <w:p/>
          <w:p>
            <w:pPr>
              <w:spacing w:after="0" w:before="0" w:lineRule="auto" w:line="276"/>
              <w:jc w:val="left"/>
            </w:pPr>
            <w:r>
              <w:rPr>
                <w:rFonts w:ascii="Times New Roman" w:hAnsi="Times New Roman" w:cs="Times New Roman" w:eastAsia="Times New Roman"/>
                <w:b w:val="false"/>
                <w:sz w:val="26"/>
              </w:rPr>
              <w:t>29-06-2018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32/2012/NĐ-CP</w:t>
            </w:r>
          </w:p>
        </w:tc>
        <w:tc>
          <w:p/>
          <w:p>
            <w:pPr>
              <w:spacing w:after="0" w:before="0" w:lineRule="auto" w:line="276"/>
              <w:jc w:val="left"/>
            </w:pPr>
            <w:r>
              <w:rPr>
                <w:rFonts w:ascii="Times New Roman" w:hAnsi="Times New Roman" w:cs="Times New Roman" w:eastAsia="Times New Roman"/>
                <w:b w:val="false"/>
                <w:sz w:val="26"/>
              </w:rPr>
              <w:t>Nghị định 32/2012/NĐ-CP</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22/2022/NĐ-CP</w:t>
            </w:r>
          </w:p>
        </w:tc>
        <w:tc>
          <w:p/>
          <w:p>
            <w:pPr>
              <w:spacing w:after="0" w:before="0" w:lineRule="auto" w:line="276"/>
              <w:jc w:val="left"/>
            </w:pPr>
            <w:r>
              <w:rPr>
                <w:rFonts w:ascii="Times New Roman" w:hAnsi="Times New Roman" w:cs="Times New Roman" w:eastAsia="Times New Roman"/>
                <w:b w:val="false"/>
                <w:sz w:val="26"/>
              </w:rPr>
              <w:t>Nghị định 22/2022/NĐ-CP</w:t>
            </w:r>
          </w:p>
        </w:tc>
        <w:tc>
          <w:p/>
          <w:p>
            <w:pPr>
              <w:spacing w:after="0" w:before="0" w:lineRule="auto" w:line="276"/>
              <w:jc w:val="left"/>
            </w:pPr>
            <w:r>
              <w:rPr>
                <w:rFonts w:ascii="Times New Roman" w:hAnsi="Times New Roman" w:cs="Times New Roman" w:eastAsia="Times New Roman"/>
                <w:b w:val="false"/>
                <w:sz w:val="26"/>
              </w:rPr>
              <w:t>25-03-2022</w:t>
            </w:r>
          </w:p>
        </w:tc>
        <w:tc>
          <w:p/>
        </w:tc>
      </w:tr>
      <w:tr>
        <w:tc>
          <w:p/>
          <w:p>
            <w:pPr>
              <w:spacing w:after="0" w:before="0" w:lineRule="auto" w:line="276"/>
              <w:jc w:val="left"/>
            </w:pPr>
            <w:r>
              <w:rPr>
                <w:rFonts w:ascii="Times New Roman" w:hAnsi="Times New Roman" w:cs="Times New Roman" w:eastAsia="Times New Roman"/>
                <w:b w:val="false"/>
                <w:sz w:val="26"/>
              </w:rPr>
              <w:t>31/2025/NĐ-CP</w:t>
            </w:r>
          </w:p>
        </w:tc>
        <w:tc>
          <w:p/>
          <w:p>
            <w:pPr>
              <w:spacing w:after="0" w:before="0" w:lineRule="auto" w:line="276"/>
              <w:jc w:val="left"/>
            </w:pPr>
            <w:r>
              <w:rPr>
                <w:rFonts w:ascii="Times New Roman" w:hAnsi="Times New Roman" w:cs="Times New Roman" w:eastAsia="Times New Roman"/>
                <w:b w:val="false"/>
                <w:sz w:val="26"/>
              </w:rPr>
              <w:t>Nghị định 31/2025/NĐ-CP ngày ngày 24 tháng 02 năm 2025 của Chính phủ về việc sửa đổi, bổ sung một số điều của Nghị định 32/2012/NĐ-CP ngày 12 tháng 4 năm 2012 của Chính phủ về quản lý xuất khẩu, nhập khẩu văn hóa phẩm không nhằm mục đích kinh doanh.</w:t>
            </w:r>
          </w:p>
        </w:tc>
        <w:tc>
          <w:p/>
          <w:p>
            <w:pPr>
              <w:spacing w:after="0" w:before="0" w:lineRule="auto" w:line="276"/>
              <w:jc w:val="left"/>
            </w:pPr>
            <w:r>
              <w:rPr>
                <w:rFonts w:ascii="Times New Roman" w:hAnsi="Times New Roman" w:cs="Times New Roman" w:eastAsia="Times New Roman"/>
                <w:b w:val="false"/>
                <w:sz w:val="26"/>
              </w:rPr>
              <w:t>24-02-2025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Nghiêm cấm nhập khẩu văn hóa phẩm quy định tại khoản 1 Điều 6 Nghị định 32/2012/NĐ-CP.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2026-05-19T12:12:55Z</dcterms:created>
  <dc:creator>Apache POI</dc:creator>
</cp:coreProperties>
</file>