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sử dụng mã nước ngoài hoặc ủy quyền sử dụng mã số, mã vạch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có nhu cầu xác nhận sử dụng mã nước ngoài hoặc ủy quyền sử dụng mã số, mã vạch nộp hồ sơ đề nghị xác nhận sử dụng mã nước ngoài hoặc ủy quyền sử dụng mã số mã vạch về Tổng cục Tiêu chuẩn Đo lường Chất lượng</w:t>
      </w:r>
    </w:p>
    <w:p>
      <w:pPr>
        <w:spacing w:after="0" w:before="0" w:lineRule="auto" w:line="276"/>
        <w:jc w:val="both"/>
      </w:pPr>
      <w:r>
        <w:rPr>
          <w:rFonts w:ascii="Times New Roman" w:hAnsi="Times New Roman" w:cs="Times New Roman" w:eastAsia="Times New Roman"/>
          <w:b w:val="false"/>
          <w:sz w:val="26"/>
        </w:rPr>
        <w:t>Bước 2: Xử lý hồ sơ
Tổng cục Tiêu chuẩn Đo lường Chất lượng tổ chức thẩm định hồ sơ:
- Trường hợp hồ sơ không đầy đủ theo quy định, trong thời hạn 05 ngày làm việc, kể từ ngày nhận được hồ sơ, cơ quan thường trực về mã số, mã vạch thông báo cho tổ chức, cá nhân nộp hồ sơ để sửa đổi, bổ sung;
- Trường hợp hồ sơ đầy đủ, hợp lệ và tổ chức, cá nhân nộp hồ sơ đóng các khoản phí theo quy định, trong thời hạn 20 ngày kể từ ngày nhận được hồ sơ, cơ quan thường trực về mã số, mã vạch có trách nhiệm cấp Giấy xác nhận sử dụng mã nước ngoài hoặc ủy quyền sử dụng mã số, mã vạch cho tổ chức theo quy định tại Mẫu số 17 và Mẫu số 18 Phụ lục ban hành kèm theo Nghị định số 74/2018/NĐ-CP.</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(Hồ sơ có ít hơn hoặc bằng 50 mã sản phẩm 500.000 đồng/hồ sơ)</w:t>
            </w:r>
          </w:p>
          <w:p>
            <w:pPr>
              <w:spacing w:after="0" w:before="0" w:lineRule="auto" w:line="276"/>
              <w:jc w:val="left"/>
            </w:pPr>
            <w:r>
              <w:rPr>
                <w:rFonts w:ascii="Times New Roman" w:hAnsi="Times New Roman" w:cs="Times New Roman" w:eastAsia="Times New Roman"/>
                <w:b w:val="false"/>
                <w:sz w:val="26"/>
              </w:rPr>
              <w:t>Phí : 10000 Đồng</w:t>
              <w:t xml:space="preserve"> (Hồ sơ trên 50 mã sản phẩm 10.000 đồng/mã)</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10000 Đồng</w:t>
              <w:t xml:space="preserve"> (Hồ sơ trên 50 mã sản phẩm 10.000 đồng/mã)</w:t>
            </w:r>
          </w:p>
          <w:p>
            <w:pPr>
              <w:spacing w:after="0" w:before="0" w:lineRule="auto" w:line="276"/>
              <w:jc w:val="left"/>
            </w:pPr>
            <w:r>
              <w:rPr>
                <w:rFonts w:ascii="Times New Roman" w:hAnsi="Times New Roman" w:cs="Times New Roman" w:eastAsia="Times New Roman"/>
                <w:b w:val="false"/>
                <w:sz w:val="26"/>
              </w:rPr>
              <w:t>Phí : 500000 Đồng</w:t>
              <w:t xml:space="preserve"> (Hồ sơ có ít hơn hoặc bằng 50 mã sản phẩm 500.000 đồng/hồ sơ)</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xác nhận sử dụng mã nước ngoài hoặc ủy quyền sử dụng mã số, mã vạch theo quy định tại Mẫu số 15 và Mẫu số 16 Phụ lục ban hành kèm theo Nghị định số 74/2018/NĐ-CP;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xác nhận sử dụng mã số nước ngoài: Bản sao bằng chứng phía đối tác nước ngoài ủy quyền cho tổ chức được quyền sử dụng mã số, mã vạch dưới hình thức thư, hợp đồng ủy quyền, bằng chứng chứng minh đơn vị ủy quyền sở hữu hợp pháp mã số ủy quyền, danh mục sản phẩm tương ứng với mã ủy quyền...;</w:t>
            </w:r>
          </w:p>
        </w:tc>
        <w:tc>
          <w:p/>
          <w:p>
            <w:pPr>
              <w:spacing w:after="0" w:before="0" w:lineRule="auto" w:line="276"/>
              <w:jc w:val="left"/>
            </w:pPr>
            <w:r>
              <w:rPr>
                <w:rFonts w:ascii="Times New Roman" w:hAnsi="Times New Roman" w:cs="Times New Roman" w:eastAsia="Times New Roman"/>
                <w:b w:val="false"/>
                <w:sz w:val="26"/>
              </w:rPr>
              <w:t>Mẫu số 15.docx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xác nhận ủy quyền sử dụng mã số, mã vạch: Bản sao hợp đồng hoặc thư ủy quyền sử dụng mã số, mã vạch kèm danh mục sản phẩm tương ứng mã số ủy quyền.</w:t>
            </w:r>
          </w:p>
        </w:tc>
        <w:tc>
          <w:p/>
          <w:p>
            <w:pPr>
              <w:spacing w:after="0" w:before="0" w:lineRule="auto" w:line="276"/>
              <w:jc w:val="left"/>
            </w:pPr>
            <w:r>
              <w:rPr>
                <w:rFonts w:ascii="Times New Roman" w:hAnsi="Times New Roman" w:cs="Times New Roman" w:eastAsia="Times New Roman"/>
                <w:b w:val="false"/>
                <w:sz w:val="26"/>
              </w:rPr>
              <w:t>Mẫu số 16.docx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sử dụng mã số mã vạch nước ngoài hoặc ủy quyền sử dụng mã số mã vạch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232/2016/TT-BTC</w:t>
            </w:r>
          </w:p>
        </w:tc>
        <w:tc>
          <w:p/>
          <w:p>
            <w:pPr>
              <w:spacing w:after="0" w:before="0" w:lineRule="auto" w:line="276"/>
              <w:jc w:val="left"/>
            </w:pPr>
            <w:r>
              <w:rPr>
                <w:rFonts w:ascii="Times New Roman" w:hAnsi="Times New Roman" w:cs="Times New Roman" w:eastAsia="Times New Roman"/>
                <w:b w:val="false"/>
                <w:sz w:val="26"/>
              </w:rPr>
              <w:t>Thông tư số 232/2016/TT-BTC ngày 11 tháng 11 năm 2016 của Bộ Tài chính quy định mức thu, chế độ thu, nộp, quản lý và sử dụng phí cấp mã số, mã vạch</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nộp đơn xác nhận sử dụng mã nước ngoài có bằng chứng được đối tác nước ngoài ủy quyền sử dụng mã số, mã vạch hợp pháp.
- Đóng phí xác nhận đầy đủ.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2026-05-27T21:04:33Z</dcterms:created>
  <dc:creator>Apache POI</dc:creator>
</cp:coreProperties>
</file>