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1310/QĐ-BKHCN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quyền sử dụng mã số, mã vạch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có nhu cầu cấp lại Giấy chứng nhận quyền sử dụng mã số, mã vạch nộp hồ sơ đăng ký sử dụng mã số mã vạch tại Tổng cục Tiêu chuẩn Đo lường Chất lượng.</w:t>
      </w:r>
    </w:p>
    <w:p>
      <w:pPr>
        <w:spacing w:after="0" w:before="0" w:lineRule="auto" w:line="276"/>
        <w:jc w:val="both"/>
      </w:pPr>
      <w:r>
        <w:rPr>
          <w:rFonts w:ascii="Times New Roman" w:hAnsi="Times New Roman" w:cs="Times New Roman" w:eastAsia="Times New Roman"/>
          <w:b w:val="false"/>
          <w:sz w:val="26"/>
        </w:rPr>
        <w:t>Bước 2: Xử lý hồ sơ
Trong thời hạn 15 ngày làm việc, kể từ ngày nhận được hồ sơ đầy đủ và hợp lệ, Tổng cục Tiêu chuẩn Đo lường Chất lượng có trách nhiệm cấp lại Ciấy chứng nhận cho tổ chức, cá nhân. Trường hợp không đáp ứng yêu cầu phải thông báo bằng văn bản và nêu rõ lý do.</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Tổng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theo Mẫu số 13 Phụ lục ban hành kèm theo Nghị định số 74/2018/NĐ-CP;</w:t>
            </w:r>
          </w:p>
        </w:tc>
        <w:tc>
          <w:p/>
          <w:p>
            <w:pPr>
              <w:spacing w:after="0" w:before="0" w:lineRule="auto" w:line="276"/>
              <w:jc w:val="left"/>
            </w:pPr>
            <w:r>
              <w:rPr>
                <w:rFonts w:ascii="Times New Roman" w:hAnsi="Times New Roman" w:cs="Times New Roman" w:eastAsia="Times New Roman"/>
                <w:b w:val="false"/>
                <w:sz w:val="26"/>
              </w:rPr>
              <w:t>Mẫu số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Giấy chứng nhận đăng ký đầu tư hoặc Quyết định thành lập đối với trường hợp thay đổi tên, địa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nhận (trừ trường hợp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mã số, mã vạch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số 74/2018/NĐ-CP ngày 15/05/2018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232/2016/TT-BTC</w:t>
            </w:r>
          </w:p>
        </w:tc>
        <w:tc>
          <w:p/>
          <w:p>
            <w:pPr>
              <w:spacing w:after="0" w:before="0" w:lineRule="auto" w:line="276"/>
              <w:jc w:val="left"/>
            </w:pPr>
            <w:r>
              <w:rPr>
                <w:rFonts w:ascii="Times New Roman" w:hAnsi="Times New Roman" w:cs="Times New Roman" w:eastAsia="Times New Roman"/>
                <w:b w:val="false"/>
                <w:sz w:val="26"/>
              </w:rPr>
              <w:t>Thông tư số 232/2016/TT-BTC ngày 11 tháng 11 năm 2016 của Bộ Tài chính quy định mức thu, chế độ thu, nộp, quản lý và sử dụng phí cấp mã số, mã vạch</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được cấp lại áp dụng đối với trường hợp tổ chức, cá nhân có giấy chứng nhận còn hiệu lực nhưng bị mất, hư hỏng hoặc thay đổi tên, địa chỉ của tổ chức, cá nhân.
- Tổ chức nộp đơn có Giấy chứng nhận đăng ký doanh nghiệp, Giấy chứng nhận đăng ký đầu tư hoặc Quyết định thành lập hợp pháp.
- Đóng phí duy trì sử dụng mã số mã vạch đầy đủ.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lại Giấy chứng nhận quyền sử dụng mã số, mã vạch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2026-05-27T18:34:16Z</dcterms:created>
  <dc:creator>Apache POI</dc:creator>
</cp:coreProperties>
</file>