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1.002993.000.00.00.H48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cấp Giấy chứng nhận quyền sử dụng đất, quyền sở hữu nhà ở và tài sản khác gắn liền với đất đối với trường hợp đã chuyển quyền sử dụng đất trước ngày 01 tháng 7 năm 2014 mà bên chuyển quyền đã được cấp Giấy chứng nhận nhưng chưa thực hiện thủ tục chuyển quyền theo quy định (đã thành lập)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Người sử dụng đất nộp hồ sơ tại Văn phòng đăng ký đất đai hoặc Chi nhánh Văn phòng đăng ký đất đai hoặc cơ quan tiếp nhận hồ sơ theo quy định của Ủy ban nhân dân cấp tỉnh hoặc địa điểm theo nhu cầu đối với những địa phương mà Ủy ban nhân dân cấp tỉnh đã ban hành quy chế tiếp nhận, luân chuyển hồ sơ, giải quyết và trả kết quả giải quyết thủ tục theo nhu cầu về địa điểm. 
   Hộ gia đình, cá nhân, cộng đồng dân cư nộp hồ sơ tại Ủy ban nhân dân cấp xã nếu có nhu cầu.
Trường hợp nhận hồ sơ chưa đầy đủ, chưa hợp lệ thì trong thời gian tối đa 03 ngày, cơ quan tiếp nhận, xử lý hồ sơ phải thông báo và hướng dẫn người nộp hồ sơ bổ sung, hoàn chỉnh hồ sơ theo quy định. 
(2) Cơ quan tiếp nhận hồ sơ có trách nhiệm ghi đầy đủ thông tin vào Sổ tiếp nhận hồ sơ và trả kết quả và trao Phiếu tiếp nhận hồ sơ và trả kết quả cho người nộp hồ sơ.
(3) Văn phòng đăng ký đất đai hoặc Chi nhánh Văn phòng đăng ký đất đai thông báo bằng văn bản cho bên chuyển quyền và niêm yết tại trụ sở Ủy ban nhân dân cấp xã nơi có đất về việc làm thủ tục cấp Giấy chứng nhận quyền sử dụng đất, quyền sở hữu nhà ở và tài sản khác gắn liền với đất cho người nhận chuyển quyền. 
- Trường hợp không rõ địa chỉ của người chuyển quyền để thông báo thì phải đăng tin trên phương tiện thông tin đại chúng của địa phương ba số liên tiếp.
- Sau thời hạn 30 ngày, kể từ ngày thông báo hoặc đăng tin lần đầu tiên trên phương tiện thông tin đại chúng của địa phương mà không có đơn đề nghị giải quyết tranh chấp thì Văn phòng đăng ký đất đai hoặc Chi nhánh Văn phòng đăng ký đất đai lập hồ sơ để trình cơ quan có thẩm quyền quyết định hủy Giấy chứng nhận đã cấp đối với trường hợp không nộp Giấy chứng nhận để làm thủ tục đồng thời cấp Giấy chứng nhận quyền sử dụng đất, quyền sở hữu nhà ở và tài sản khác gắn liền với đất mới cho bên nhận chuyển quyền.
Trường hợp có đơn đề nghị giải quyết tranh chấp thì Văn phòng đăng ký đất đai hoặc Chi nhánh Văn phòng đăng ký đất đai hướng dẫn các bên nộp đơn đến cơ quan nhà nước có thẩm quyền giải quyết tranh chấp theo quy định.
b. Thực hiện thủ tục trên môi trường điện tử
Cơ quan tiếp nhận, giải quyết hồ sơ có trách nhiệm thực hiện các trình tự, thủ tục hành chính về đất đai theo quy định của pháp luật về đất đai; trường hợp cần phải kiểm tra, xác minh làm rõ hoặc do nguyên nhân khác mà không trả kết quả giải quyết hồ sơ theo đúng quy định về thời gian giải quyết thủ tục hành chính về đất đai thì cơ quan tiếp nhận hồ sơ, giải quyết thủ tục gửi thông báo bằng văn bản hoặc qua Cổng dịch vụ công hoặc qua tin nhắn SMS cho người yêu cầu, trong đó nêu rõ lý do.
Người sử dụng đất, chủ sở hữu tài sản gắn liền với đất có trách nhiệm hoàn thành nghĩa vụ tài chính theo quy định của pháp luật bằng hình thức trực tiếp hoặc trực tuyến thông qua chức năng thanh toán của Cổng dịch vụ công.
Cơ quan tiếp nhận hoặc cơ quan giải quyết hồ sơ thông báo cho người yêu cầu thực hiện thủ tục hành chính nộp bản chính Giấy chứng nhận đã cấp, các giấy tờ theo quy định sau khi người sử dụng đất hoàn thành nghĩa vụ tài chính.
	Việc trả kết quả giải quyết thủ tục hành chính được thực hiện tại cơ quan tiếp nhận hồ sơ hoặc qua dịch vụ bưu chính công ích hoặc tại địa điểm theo yêu cầu đối với trường hợp tiếp nhận hồ sơ và trả kết quả giải quyết thủ tục đăng ký đất đai, tài sản khác gắn liền với đất
- Trường hợp không rõ địa chỉ của người chuyển quyền để thông báo thì phải đăng tin trên phương tiện thông tin đại chúng của địa phương ba số liên tiếp.
- Sau thời hạn 30 ngày, kể từ ngày thông báo hoặc đăng tin lần đầu tiên trên phương tiện thông tin đại chúng của địa phương mà không có đơn đề nghị giải quyết tranh chấp thì Văn phòng đăng ký đất đai lập hồ sơ để trình cơ quan có thẩm quyền quyết định hủy Giấy chứng nhận đã cấp đối với trường hợp không nộp Giấy chứng nhận để làm thủ tục đồng thời cấp Giấy chứng nhận quyền sử dụng đất, quyền sở hữu nhà ở và tài sản khác gắn liền với đất mới cho bên nhận chuyển quyền.
Trường hợp có đơn đề nghị giải quyết tranh chấp thì Văn phòng đăng ký đất đai hướng dẫn các bên nộp đơn đến cơ quan nhà nước có thẩm quyền giải quyết tranh chấp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Phí :  Đồng</w:t>
              <w:t xml:space="preserve"> (- Phí thẩm định: Nghị quyết số 08/2021/NQ-HĐND ngày 12/3/2021 của HĐND tỉnh; - Lệ phí: Nghị quyết số 10/2021/HĐND ngày 12/3/2021 của HĐND tỉnh.)</w:t>
            </w:r>
          </w:p>
        </w:tc>
        <w:tc>
          <w:p/>
          <w:p>
            <w:pPr>
              <w:spacing w:after="0" w:before="0" w:lineRule="auto" w:line="276"/>
              <w:jc w:val="left"/>
            </w:pPr>
            <w:r>
              <w:rPr>
                <w:rFonts w:ascii="Times New Roman" w:hAnsi="Times New Roman" w:cs="Times New Roman" w:eastAsia="Times New Roman"/>
                <w:b w:val="false"/>
                <w:sz w:val="26"/>
              </w:rPr>
              <w:t>+ Đối với các trường hợp do VPĐKĐĐ tỉnh, Chi nhánh Văn phòng ĐKĐĐ thành phố thực hiện: Nộp hồ sơ, nhận kết quả giải quyết tại Trung tâm Phục vụ - Kiểm soát thủ tục hành chính tỉnh, địa chỉ: Số 54 đường Hùng Vương, thành phố Quảng Ngãi, tỉnh Quảng Ngãi.
+ Đối với các trường hợp do Chi nhánh Văn phòng ĐKĐĐ các huyện, thị xã thực hiện: Nộp hồ sơ, nhận kết quả giải quyết tại Bộ phận Một cửa các huyện, thị xã.
* Hộ gia đình, cá nhân, cộng đồng dân cư nộp hồ sơ tại Bộ phận Một cửa của UBND cấp xã nếu có nhu cầu.
- Thời gian giải quyết TTHC theo Danh mục này được tính từ ngày người sử dụng đất nộp đầy đủ hồ sơ hợp lệ theo quy định, không bao gồm:
+ Thời gian các ngày nghỉ (thứ 7, chủ nhật hàng tuần), ngày lễ;
+ Thời gian người sử dụng đất thực hiện nghĩa vụ tài chính;
+ Thời gian người sử dụng đất chỉnh sửa, bổ sung, hoàn thiện lại hồ sơ theo quy định;
+ Thời gian xem xét xử lý đối với trường hợp sử dụng đất có vi phạm pháp luật, thời gian trưng cầu giám định;
+ Thời gian hoàn thành công tác bồi thường, giải phóng mặt bằng;
+ Thời gian phối hợp có ý kiến của các cơ quan, đơn vị có liên quan đối với trường hợp phát sinh vướng mắc;
+ Thời gian thực hiện thông báo, niêm yết công khai, đăng tin trên phương tiện thông tin đại chúng trong trường hợp cần thiết;
- Đối với các xã miền núi, hải đảo, vùng sâu, vùng xa, vùng có điều kiện kinh tế - xã hội khó khăn thì thời gian thực hiện được tăng thêm 10 ngày; trừ thủ tục hòa giải tranh chấp đất đai.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 xml:space="preserve">Phí :  </w:t>
              <w:t xml:space="preserve"> (- Phí thẩm định: Nghị quyết số 08/2021/NQ-HĐND ngày 12/3/2021 của HĐND tỉnh; - Lệ phí: Nghị quyết số 10/2021/HĐND ngày 12/3/2021 của HĐND tỉnh.)</w:t>
            </w:r>
          </w:p>
        </w:tc>
        <w:tc>
          <w:p/>
          <w:p>
            <w:pPr>
              <w:spacing w:after="0" w:before="0" w:lineRule="auto" w:line="276"/>
              <w:jc w:val="left"/>
            </w:pPr>
            <w:r>
              <w:rPr>
                <w:rFonts w:ascii="Times New Roman" w:hAnsi="Times New Roman" w:cs="Times New Roman" w:eastAsia="Times New Roman"/>
                <w:b w:val="false"/>
                <w:sz w:val="26"/>
              </w:rPr>
              <w:t>+ Đối với các trường hợp do VPĐKĐĐ tỉnh, Chi nhánh Văn phòng ĐKĐĐ thành phố thực hiện: Nộp hồ sơ, nhận kết quả giải quyết tại Trung tâm Phục vụ - Kiểm soát thủ tục hành chính tỉnh, địa chỉ: Số 54 đường Hùng Vương, thành phố Quảng Ngãi, tỉnh Quảng Ngãi.
+ Đối với các trường hợp do Chi nhánh Văn phòng ĐKĐĐ các huyện, thị xã thực hiện: Nộp hồ sơ, nhận kết quả giải quyết tại Bộ phận Một cửa các huyện, thị xã.
* Hộ gia đình, cá nhân, cộng đồng dân cư nộp hồ sơ tại Bộ phận Một cửa của UBND cấp xã nếu có nhu cầu.
- Thời gian giải quyết TTHC theo Danh mục này được tính từ ngày người sử dụng đất nộp đầy đủ hồ sơ hợp lệ theo quy định, không bao gồm:
+ Thời gian các ngày nghỉ (thứ 7, chủ nhật hàng tuần), ngày lễ;
+ Thời gian người sử dụng đất thực hiện nghĩa vụ tài chính;
+ Thời gian người sử dụng đất chỉnh sửa, bổ sung, hoàn thiện lại hồ sơ theo quy định;
+ Thời gian xem xét xử lý đối với trường hợp sử dụng đất có vi phạm pháp luật, thời gian trưng cầu giám định;
+ Thời gian hoàn thành công tác bồi thường, giải phóng mặt bằng;
+ Thời gian phối hợp có ý kiến của các cơ quan, đơn vị có liên quan đối với trường hợp phát sinh vướng mắc;
+ Thời gian thực hiện thông báo, niêm yết công khai, đăng tin trên phương tiện thông tin đại chúng trong trường hợp cần thiết;
- Đối với các xã miền núi, hải đảo, vùng sâu, vùng xa, vùng có điều kiện kinh tế - xã hội khó khăn thì thời gian thực hiện được tăng thêm 10 ngày; trừ thủ tục hòa giải tranh chấp đất đai.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nhận chuyển nhượng, nhận thừa kế, nhận tặng cho quyền sử dụng đất, tài sản gắn liền với đất mà có hợp đồng hoặc văn bản về chuyển quyền theo quy định nhưng bên chuyển quyền không trao Giấy chứng nhận cho bên nhận chuyển quyền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đăng ký biến động đất đai, tài sản gắn liền với đất theo Mẫu số 09/ĐK</w:t>
            </w:r>
          </w:p>
        </w:tc>
        <w:tc>
          <w:p/>
          <w:p>
            <w:pPr>
              <w:spacing w:after="0" w:before="0" w:lineRule="auto" w:line="276"/>
              <w:jc w:val="left"/>
            </w:pPr>
            <w:r>
              <w:rPr>
                <w:rFonts w:ascii="Times New Roman" w:hAnsi="Times New Roman" w:cs="Times New Roman" w:eastAsia="Times New Roman"/>
                <w:b w:val="false"/>
                <w:sz w:val="26"/>
              </w:rPr>
              <w:t>Mau so 09-DK.pdf</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Hợp đồng hoặc văn bản về chuyển quyền đã lập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nhận chuyển nhượng, nhận tặng cho quyền sử dụng đất nhưng không lập hợp đồng, văn bản chuyển quyền theo quy định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đăng ký biến động đất đai, tài sản gắn liền với đất theo Mẫu số 09/ĐK</w:t>
            </w:r>
          </w:p>
        </w:tc>
        <w:tc>
          <w:p/>
          <w:p>
            <w:pPr>
              <w:spacing w:after="0" w:before="0" w:lineRule="auto" w:line="276"/>
              <w:jc w:val="left"/>
            </w:pPr>
            <w:r>
              <w:rPr>
                <w:rFonts w:ascii="Times New Roman" w:hAnsi="Times New Roman" w:cs="Times New Roman" w:eastAsia="Times New Roman"/>
                <w:b w:val="false"/>
                <w:sz w:val="26"/>
              </w:rPr>
              <w:t>Mau so 09-DK.pdf</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gốc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về việc chuyển quyền sử dụng đất, tài sản gắn liền với đất có đủ chữ ký của bên chuyển quyền và bên nhận chuyển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Đối với trường hợp thực hiện thủ tục đăng ký biến động đất đai, tài sản gắn liền với đất  mà có thay đổi thông tin về pháp nhân, số Giấy chứng minh nhân dân, số thẻ Căn cước công dân, số định danh cá nhân, địa chỉ trên Giấy chứng nhận đã cấp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Đối với cá nhân thì cơ quan giải quyết thủ tục có trách nhiệm khai thác, sử dụng thông tin trong Cơ sở dữ liệu quốc gia về dân cư theo quy định tại Điều 14 Nghị định số 104/2022/NĐ-CP ngày 21 tháng 12 năm 2022 của Chính phủ sửa đổi, bổ sung một số điều của các nghị định liên quan đến việc nộp, xuất trình sổ hộ khẩu, sổ tạm trú giấy khi thực hiện thủ tục hành chính, cung cấp dịch vụ công;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tổ chức, cộng đồng dân cư, cơ sở tôn giáo thì nộp bổ sung văn bản của cơ quan có thẩm quyền cho phép hoặc công nhận việc thay đổi thông tin pháp nhân đối với trường hợp thay đổi thông tin về pháp nhân của tổ chức, cơ sở tôn giáo đã ghi trên Giấy chứng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đất đai, 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Đối với các trường hợp do VPĐKĐĐ tỉnh, Chi nhánh Văn phòng ĐKĐĐ thành phố thực hiện: Nộp hồ sơ, nhận kết quả giải quyết tại Trung tâm Phục vụ - Kiểm soát thủ tục hành chính tỉnh, địa chỉ: Số 54 đường Hùng Vương, thành phố Quảng Ngãi, tỉnh Quảng Ngãi. + Đối với các trường hợp do Chi nhánh Văn phòng ĐKĐĐ các huyện, thị xã thực hiện: Nộp hồ sơ, nhận kết quả giải quyết tại Bộ phận Một cửa các huyện, thị xã. * Hộ gia đình, cá nhân, cộng đồng dân cư nộp hồ sơ tại Bộ phận Một cửa của UBND cấp xã nếu có nhu cầu.</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Sở Tài nguyên và Môi trường, Cơ quan thuế, Ủy ban nhân dân cấp xã, Phòng Tài nguyên và Môi trường</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quyền sử dụng đất quyền sở hữu nhà ở và tài sản khác gắn liền với đất tài sản khác gắn liền với đất, Ghi vào sổ địa chính và lập hồ sơ để Nhà nước quản lý.</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01/2017/NĐ-CP</w:t>
            </w:r>
          </w:p>
        </w:tc>
        <w:tc>
          <w:p/>
          <w:p>
            <w:pPr>
              <w:spacing w:after="0" w:before="0" w:lineRule="auto" w:line="276"/>
              <w:jc w:val="left"/>
            </w:pPr>
            <w:r>
              <w:rPr>
                <w:rFonts w:ascii="Times New Roman" w:hAnsi="Times New Roman" w:cs="Times New Roman" w:eastAsia="Times New Roman"/>
                <w:b w:val="false"/>
                <w:sz w:val="26"/>
              </w:rPr>
              <w:t>Nghị định 01/2017/NĐ-CP ngày 06 tháng 01 năm 2014 của Chính phủ sửa đổi, bổ sung một số nghị định quy định chi tiết thi hành Luật Đất đai</w:t>
            </w:r>
          </w:p>
        </w:tc>
        <w:tc>
          <w:p/>
          <w:p>
            <w:pPr>
              <w:spacing w:after="0" w:before="0" w:lineRule="auto" w:line="276"/>
              <w:jc w:val="left"/>
            </w:pPr>
            <w:r>
              <w:rPr>
                <w:rFonts w:ascii="Times New Roman" w:hAnsi="Times New Roman" w:cs="Times New Roman" w:eastAsia="Times New Roman"/>
                <w:b w:val="false"/>
                <w:sz w:val="26"/>
              </w:rPr>
              <w:t>06-01-2017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45/2013/QH13	</w:t>
            </w:r>
          </w:p>
        </w:tc>
        <w:tc>
          <w:p/>
          <w:p>
            <w:pPr>
              <w:spacing w:after="0" w:before="0" w:lineRule="auto" w:line="276"/>
              <w:jc w:val="left"/>
            </w:pPr>
            <w:r>
              <w:rPr>
                <w:rFonts w:ascii="Times New Roman" w:hAnsi="Times New Roman" w:cs="Times New Roman" w:eastAsia="Times New Roman"/>
                <w:b w:val="false"/>
                <w:sz w:val="26"/>
              </w:rPr>
              <w:t>Luật 45/2013/QH13</w:t>
            </w:r>
          </w:p>
        </w:tc>
        <w:tc>
          <w:p/>
          <w:p>
            <w:pPr>
              <w:spacing w:after="0" w:before="0" w:lineRule="auto" w:line="276"/>
              <w:jc w:val="left"/>
            </w:pPr>
            <w:r>
              <w:rPr>
                <w:rFonts w:ascii="Times New Roman" w:hAnsi="Times New Roman" w:cs="Times New Roman" w:eastAsia="Times New Roman"/>
                <w:b w:val="false"/>
                <w:sz w:val="26"/>
              </w:rPr>
              <w:t>02-01-2014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02/2014/TT-BTC</w:t>
            </w:r>
          </w:p>
        </w:tc>
        <w:tc>
          <w:p/>
          <w:p>
            <w:pPr>
              <w:spacing w:after="0" w:before="0" w:lineRule="auto" w:line="276"/>
              <w:jc w:val="left"/>
            </w:pPr>
            <w:r>
              <w:rPr>
                <w:rFonts w:ascii="Times New Roman" w:hAnsi="Times New Roman" w:cs="Times New Roman" w:eastAsia="Times New Roman"/>
                <w:b w:val="false"/>
                <w:sz w:val="26"/>
              </w:rPr>
              <w:t>Thông tư số 02/2014/TT-BTC ngày 02/01/2014 của Bộ trưởng Bộ Tài chính hướng dẫn về phí và lệ phí thuộc thẩm quyền quyết định của HĐND tỉnh, thành phố trực thuộc Trung ương</w:t>
            </w:r>
          </w:p>
        </w:tc>
        <w:tc>
          <w:p/>
          <w:p>
            <w:pPr>
              <w:spacing w:after="0" w:before="0" w:lineRule="auto" w:line="276"/>
              <w:jc w:val="left"/>
            </w:pPr>
            <w:r>
              <w:rPr>
                <w:rFonts w:ascii="Times New Roman" w:hAnsi="Times New Roman" w:cs="Times New Roman" w:eastAsia="Times New Roman"/>
                <w:b w:val="false"/>
                <w:sz w:val="26"/>
              </w:rPr>
              <w:t>02-01-2014</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43/2014/NĐ-CP</w:t>
            </w:r>
          </w:p>
        </w:tc>
        <w:tc>
          <w:p/>
          <w:p>
            <w:pPr>
              <w:spacing w:after="0" w:before="0" w:lineRule="auto" w:line="276"/>
              <w:jc w:val="left"/>
            </w:pPr>
            <w:r>
              <w:rPr>
                <w:rFonts w:ascii="Times New Roman" w:hAnsi="Times New Roman" w:cs="Times New Roman" w:eastAsia="Times New Roman"/>
                <w:b w:val="false"/>
                <w:sz w:val="26"/>
              </w:rPr>
              <w:t>Nghị định 43/2014/NĐ-CP ngày 15 tháng 5 năm 2014 của Chính phủ</w:t>
            </w:r>
          </w:p>
        </w:tc>
        <w:tc>
          <w:p/>
          <w:p>
            <w:pPr>
              <w:spacing w:after="0" w:before="0" w:lineRule="auto" w:line="276"/>
              <w:jc w:val="left"/>
            </w:pPr>
            <w:r>
              <w:rPr>
                <w:rFonts w:ascii="Times New Roman" w:hAnsi="Times New Roman" w:cs="Times New Roman" w:eastAsia="Times New Roman"/>
                <w:b w:val="false"/>
                <w:sz w:val="26"/>
              </w:rPr>
              <w:t>15-05-2014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23/2014/TT-BTNMT</w:t>
            </w:r>
          </w:p>
        </w:tc>
        <w:tc>
          <w:p/>
          <w:p>
            <w:pPr>
              <w:spacing w:after="0" w:before="0" w:lineRule="auto" w:line="276"/>
              <w:jc w:val="left"/>
            </w:pPr>
            <w:r>
              <w:rPr>
                <w:rFonts w:ascii="Times New Roman" w:hAnsi="Times New Roman" w:cs="Times New Roman" w:eastAsia="Times New Roman"/>
                <w:b w:val="false"/>
                <w:sz w:val="26"/>
              </w:rPr>
              <w:t>Thông tư số 23/2014/TT-BTNMT ngày 19 tháng 5 năm 2014 của Bộ trưởng Bộ Tài nguyên và Môi trường quy định về giấy chứng nhận quyền sử dụng đất, quyền sở hữu nhà ở và tài sản khác gắn liền với đất</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24/2014/TT-BTNMT</w:t>
            </w:r>
          </w:p>
        </w:tc>
        <w:tc>
          <w:p/>
          <w:p>
            <w:pPr>
              <w:spacing w:after="0" w:before="0" w:lineRule="auto" w:line="276"/>
              <w:jc w:val="left"/>
            </w:pPr>
            <w:r>
              <w:rPr>
                <w:rFonts w:ascii="Times New Roman" w:hAnsi="Times New Roman" w:cs="Times New Roman" w:eastAsia="Times New Roman"/>
                <w:b w:val="false"/>
                <w:sz w:val="26"/>
              </w:rPr>
              <w:t>Thông tư số 24/2014/TT-BTNMT ngày 19 tháng 5 năm 2014 của Bộ trưởng Bộ Tài nguyên và Môi trường quy định về hồ sơ địa chính</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33/2017/TT-BTNMT</w:t>
            </w:r>
          </w:p>
        </w:tc>
        <w:tc>
          <w:p/>
          <w:p>
            <w:pPr>
              <w:spacing w:after="0" w:before="0" w:lineRule="auto" w:line="276"/>
              <w:jc w:val="left"/>
            </w:pPr>
            <w:r>
              <w:rPr>
                <w:rFonts w:ascii="Times New Roman" w:hAnsi="Times New Roman" w:cs="Times New Roman" w:eastAsia="Times New Roman"/>
                <w:b w:val="false"/>
                <w:sz w:val="26"/>
              </w:rPr>
              <w:t>Thông tư số 33/2017/TT-BTNMT ngày 29/9/2017 của Bộ trưởng Bộ Tài nguyên và Môi trường quy định chi tiết Nghị định số 01/2017/NĐ-CP ngày 06 tháng 01 năm 2017 của Chính phủ sửa đổi, bổ sung một số nghị định quy định chi tiết thi hành Luật Đất đai và sửa đổi, bổ sung một số điều của các thông tư hướng dẫn thi hành Luật Đất đai</w:t>
            </w:r>
          </w:p>
        </w:tc>
        <w:tc>
          <w:p/>
          <w:p>
            <w:pPr>
              <w:spacing w:after="0" w:before="0" w:lineRule="auto" w:line="276"/>
              <w:jc w:val="left"/>
            </w:pPr>
            <w:r>
              <w:rPr>
                <w:rFonts w:ascii="Times New Roman" w:hAnsi="Times New Roman" w:cs="Times New Roman" w:eastAsia="Times New Roman"/>
                <w:b w:val="false"/>
                <w:sz w:val="26"/>
              </w:rPr>
              <w:t>29-09-2017</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28/2017/QĐ-UBND</w:t>
            </w:r>
          </w:p>
        </w:tc>
        <w:tc>
          <w:p/>
          <w:p>
            <w:pPr>
              <w:spacing w:after="0" w:before="0" w:lineRule="auto" w:line="276"/>
              <w:jc w:val="left"/>
            </w:pPr>
            <w:r>
              <w:rPr>
                <w:rFonts w:ascii="Times New Roman" w:hAnsi="Times New Roman" w:cs="Times New Roman" w:eastAsia="Times New Roman"/>
                <w:b w:val="false"/>
                <w:sz w:val="26"/>
              </w:rPr>
              <w:t>Quyết định 28/2017/QĐ-UBND</w:t>
            </w:r>
          </w:p>
        </w:tc>
        <w:tc>
          <w:p/>
          <w:p>
            <w:pPr>
              <w:spacing w:after="0" w:before="0" w:lineRule="auto" w:line="276"/>
              <w:jc w:val="left"/>
            </w:pPr>
            <w:r>
              <w:rPr>
                <w:rFonts w:ascii="Times New Roman" w:hAnsi="Times New Roman" w:cs="Times New Roman" w:eastAsia="Times New Roman"/>
                <w:b w:val="false"/>
                <w:sz w:val="26"/>
              </w:rPr>
              <w:t>09-05-2017</w:t>
            </w:r>
          </w:p>
        </w:tc>
        <w:tc>
          <w:p/>
          <w:p>
            <w:pPr>
              <w:spacing w:after="0" w:before="0" w:lineRule="auto" w:line="276"/>
              <w:jc w:val="left"/>
            </w:pPr>
            <w:r>
              <w:rPr>
                <w:rFonts w:ascii="Times New Roman" w:hAnsi="Times New Roman" w:cs="Times New Roman" w:eastAsia="Times New Roman"/>
                <w:b w:val="false"/>
                <w:sz w:val="26"/>
              </w:rPr>
              <w:t>UBND tỉnh Quảng Ngãi</w:t>
            </w:r>
          </w:p>
        </w:tc>
      </w:tr>
      <w:tr>
        <w:tc>
          <w:p/>
          <w:p>
            <w:pPr>
              <w:spacing w:after="0" w:before="0" w:lineRule="auto" w:line="276"/>
              <w:jc w:val="left"/>
            </w:pPr>
            <w:r>
              <w:rPr>
                <w:rFonts w:ascii="Times New Roman" w:hAnsi="Times New Roman" w:cs="Times New Roman" w:eastAsia="Times New Roman"/>
                <w:b w:val="false"/>
                <w:sz w:val="26"/>
              </w:rPr>
              <w:t>25/2017/QĐ-UBND</w:t>
            </w:r>
          </w:p>
        </w:tc>
        <w:tc>
          <w:p/>
          <w:p>
            <w:pPr>
              <w:spacing w:after="0" w:before="0" w:lineRule="auto" w:line="276"/>
              <w:jc w:val="left"/>
            </w:pPr>
            <w:r>
              <w:rPr>
                <w:rFonts w:ascii="Times New Roman" w:hAnsi="Times New Roman" w:cs="Times New Roman" w:eastAsia="Times New Roman"/>
                <w:b w:val="false"/>
                <w:sz w:val="26"/>
              </w:rPr>
              <w:t>Quyết định 25/2017/QĐ-UBND</w:t>
            </w:r>
          </w:p>
        </w:tc>
        <w:tc>
          <w:p/>
          <w:p>
            <w:pPr>
              <w:spacing w:after="0" w:before="0" w:lineRule="auto" w:line="276"/>
              <w:jc w:val="left"/>
            </w:pPr>
            <w:r>
              <w:rPr>
                <w:rFonts w:ascii="Times New Roman" w:hAnsi="Times New Roman" w:cs="Times New Roman" w:eastAsia="Times New Roman"/>
                <w:b w:val="false"/>
                <w:sz w:val="26"/>
              </w:rPr>
              <w:t>09-05-2017</w:t>
            </w:r>
          </w:p>
        </w:tc>
        <w:tc>
          <w:p/>
          <w:p>
            <w:pPr>
              <w:spacing w:after="0" w:before="0" w:lineRule="auto" w:line="276"/>
              <w:jc w:val="left"/>
            </w:pPr>
            <w:r>
              <w:rPr>
                <w:rFonts w:ascii="Times New Roman" w:hAnsi="Times New Roman" w:cs="Times New Roman" w:eastAsia="Times New Roman"/>
                <w:b w:val="false"/>
                <w:sz w:val="26"/>
              </w:rPr>
              <w:t>UBND tỉnh Quảng Ngãi</w:t>
            </w:r>
          </w:p>
        </w:tc>
      </w:tr>
      <w:tr>
        <w:tc>
          <w:p/>
          <w:p>
            <w:pPr>
              <w:spacing w:after="0" w:before="0" w:lineRule="auto" w:line="276"/>
              <w:jc w:val="left"/>
            </w:pPr>
            <w:r>
              <w:rPr>
                <w:rFonts w:ascii="Times New Roman" w:hAnsi="Times New Roman" w:cs="Times New Roman" w:eastAsia="Times New Roman"/>
                <w:b w:val="false"/>
                <w:sz w:val="26"/>
              </w:rPr>
              <w:t>18/2019/QĐ-UBND</w:t>
            </w:r>
          </w:p>
        </w:tc>
        <w:tc>
          <w:p/>
          <w:p>
            <w:pPr>
              <w:spacing w:after="0" w:before="0" w:lineRule="auto" w:line="276"/>
              <w:jc w:val="left"/>
            </w:pPr>
            <w:r>
              <w:rPr>
                <w:rFonts w:ascii="Times New Roman" w:hAnsi="Times New Roman" w:cs="Times New Roman" w:eastAsia="Times New Roman"/>
                <w:b w:val="false"/>
                <w:sz w:val="26"/>
              </w:rPr>
              <w:t>Quyết định  18/2019/QĐ-UBND</w:t>
            </w:r>
          </w:p>
        </w:tc>
        <w:tc>
          <w:p/>
          <w:p>
            <w:pPr>
              <w:spacing w:after="0" w:before="0" w:lineRule="auto" w:line="276"/>
              <w:jc w:val="left"/>
            </w:pPr>
            <w:r>
              <w:rPr>
                <w:rFonts w:ascii="Times New Roman" w:hAnsi="Times New Roman" w:cs="Times New Roman" w:eastAsia="Times New Roman"/>
                <w:b w:val="false"/>
                <w:sz w:val="26"/>
              </w:rPr>
              <w:t>17-07-2019</w:t>
            </w:r>
          </w:p>
        </w:tc>
        <w:tc>
          <w:p/>
          <w:p>
            <w:pPr>
              <w:spacing w:after="0" w:before="0" w:lineRule="auto" w:line="276"/>
              <w:jc w:val="left"/>
            </w:pPr>
            <w:r>
              <w:rPr>
                <w:rFonts w:ascii="Times New Roman" w:hAnsi="Times New Roman" w:cs="Times New Roman" w:eastAsia="Times New Roman"/>
                <w:b w:val="false"/>
                <w:sz w:val="26"/>
              </w:rPr>
              <w:t>UBND tỉnh Quảng Ngãi</w:t>
            </w:r>
          </w:p>
        </w:tc>
      </w:tr>
      <w:tr>
        <w:tc>
          <w:p/>
          <w:p>
            <w:pPr>
              <w:spacing w:after="0" w:before="0" w:lineRule="auto" w:line="276"/>
              <w:jc w:val="left"/>
            </w:pPr>
            <w:r>
              <w:rPr>
                <w:rFonts w:ascii="Times New Roman" w:hAnsi="Times New Roman" w:cs="Times New Roman" w:eastAsia="Times New Roman"/>
                <w:b w:val="false"/>
                <w:sz w:val="26"/>
              </w:rPr>
              <w:t>10/2023/NĐ-CP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03-04-2023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Đối với trường hợp thực hiện thủ tục trên môi trường điện tử: Căn cứ điều kiện cụ thể về hạ tầng kỹ thuật công nghệ thông tin đất đai và cơ sở dữ liệu đất đai đang quản lý, cơ quan tiếp nhận hồ sơ và trả kết quả giải quyết thủ tục hành chính về đất đai quy định tại Điều 60 của Nghị định số 43/2014/NĐ-CP ngày 15/5/2014 của Chính phủ quy định chi tiết thi hành một số điều của Luật Đất đai (được sửa đổi, bổ sung tại khoản 7 Điều 1 của Nghị định số 10/2023/NĐ-CP ngày 03/4/2023 sửa đổi, bổ sung một số điều của các nghị định hướng dẫn thi hành Luật Đất đai) có trách nhiệm tổ chức việc tiếp nhận hồ sơ và trả kết quả giải quyết thủ tục hành chính trên môi trường điện tử theo quy định của Chính phủ.</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Sổ đỏ</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2026-05-28T18:06:32Z</dcterms:created>
  <dc:creator>Apache POI</dc:creator>
</cp:coreProperties>
</file>