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TTHC
Cơ sở đào tạo có nhu cầu đề nghị cấp Giấy chứng nhận nộp 01 bộ hồ sơ theo quy định tại Điều 11 Nghị định số 78/2016/NĐ-CP ngày 01 tháng 7 năm 2016 của Chính phủ gửi trực tiếp hoặc gửi qua dịch vụ bưu chính hoặc bằng các hình thức phù hợp khác đến đến Ủy ban nhân dân cấp tỉnh (đối với cơ sở từ loại 3 trở lên) hoặc Sở Xây dựng (đối với cơ sở loại 4).
Giải quyết TTHC
- Trường hợp hồ sơ chưa hợp lệ, trong thời hạn 02 ngày làm việc kể từ ngày nhận được hồ sơ, Ủy ban nhân dân cấp tỉnh (đối với cơ sở từ loại 3 trở lên) hoặc Sở Xây dựng (đối với cơ sở loại 4)phải có văn bản thông báo và hướng dẫn hoàn thiện hồ sơ theo quy định;
- Ủy ban nhân dân cấp tỉnh (đối với cơ sở từ loại 3 trở lên) hoặc Sở Xây dựng (đối với cơ sở loại 4) tổ chức kiểm tra thực tế cơ sở đào tạo, lập biên bản theo mẫu quy định. Sau khi kết thúc kiểm tra, nếu đáp ứng đủ điều kiện, trong thời hạn không quá 07 ngày làm việc kể từ ngày nhận được hồ sơ hợp lệ, Ủy ban nhân dân cấp tỉnh (đối với cơ sở từ loại 3 trở lên) hoặc Sở Xây dựng (đối với cơ sở loại 4) cấp Giấy chứng nhận cho cơ sở đào tạo; trường hợp không cấp Giấy chứng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có chứng thực hoặc bản sao kèm bản chính để đối chiếu hoặc bản sao điện tử được chứng thực từ bản chính hoặc bản sao điện tử từ sổ gốc văn bằng, chứng chỉ của giáo viên và hợp đồng của giáo viên (hợp đồng làm việc hoặc hợp đồng lao động hoặc hợp đồng thỉnh giảng hoặc hình thức hợp đồng phù hợp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kèm bản chính để đối chiếu hoặc bản sao điện tử được chứng thực từ bản chính hoặc bản sao điện tử từ sổ gốc các giấy tờ chứng minh quyền sở hữu, sử dụng hoặc hợp đồng thuê phòng học, xưởng thực tập, phương tiện, cầu cảng, bến thủy nội địa, vùng nước để dạy thực hành; giấy tờ về đăng ký, đăng kiểm phương tiện còn hiệu lực phù hợp với loại, hạng và thời gian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Bản chính hoặc biểu mẫu điện tử tờ khai của cơ sở đào tạo đề nghị cấp Giấy chứng nhận</w:t>
            </w:r>
          </w:p>
        </w:tc>
        <w:tc>
          <w:p/>
          <w:p>
            <w:pPr>
              <w:spacing w:after="0" w:before="0" w:lineRule="auto" w:line="276"/>
              <w:jc w:val="left"/>
            </w:pPr>
            <w:r>
              <w:rPr>
                <w:rFonts w:ascii="Times New Roman" w:hAnsi="Times New Roman" w:cs="Times New Roman" w:eastAsia="Times New Roman"/>
                <w:b w:val="false"/>
                <w:sz w:val="26"/>
              </w:rPr>
              <w:t>Mus01-CSTTV-NL.docx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78/2016/NĐ-CP</w:t>
            </w:r>
          </w:p>
        </w:tc>
        <w:tc>
          <w:p/>
          <w:p>
            <w:pPr>
              <w:spacing w:after="0" w:before="0" w:lineRule="auto" w:line="276"/>
              <w:jc w:val="left"/>
            </w:pPr>
            <w:r>
              <w:rPr>
                <w:rFonts w:ascii="Times New Roman" w:hAnsi="Times New Roman" w:cs="Times New Roman" w:eastAsia="Times New Roman"/>
                <w:b w:val="false"/>
                <w:sz w:val="26"/>
              </w:rPr>
              <w:t>Quy định điều kiện kinh doanh dịch vụ đào tạo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VỀ ĐIỀU KIỆN ĐẦU TƯ, KINH DOANH TRONG LĨNH VỰC ĐƯỜNG THỦY NỘI ĐỊA</w:t>
            </w:r>
          </w:p>
        </w:tc>
        <w:tc>
          <w:p/>
          <w:p>
            <w:pPr>
              <w:spacing w:after="0" w:before="0" w:lineRule="auto" w:line="276"/>
              <w:jc w:val="left"/>
            </w:pPr>
            <w:r>
              <w:rPr>
                <w:rFonts w:ascii="Times New Roman" w:hAnsi="Times New Roman" w:cs="Times New Roman" w:eastAsia="Times New Roman"/>
                <w:b w:val="false"/>
                <w:sz w:val="26"/>
              </w:rPr>
              <w:t>24-09-2018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54/2022/NĐ-CP</w:t>
            </w:r>
          </w:p>
        </w:tc>
        <w:tc>
          <w:p/>
          <w:p>
            <w:pPr>
              <w:spacing w:after="0" w:before="0" w:lineRule="auto" w:line="276"/>
              <w:jc w:val="left"/>
            </w:pPr>
            <w:r>
              <w:rPr>
                <w:rFonts w:ascii="Times New Roman" w:hAnsi="Times New Roman" w:cs="Times New Roman" w:eastAsia="Times New Roman"/>
                <w:b w:val="false"/>
                <w:sz w:val="26"/>
              </w:rPr>
              <w:t>Nghị định 54/2022/NĐ-CP</w:t>
            </w:r>
          </w:p>
        </w:tc>
        <w:tc>
          <w:p/>
          <w:p>
            <w:pPr>
              <w:spacing w:after="0" w:before="0" w:lineRule="auto" w:line="276"/>
              <w:jc w:val="left"/>
            </w:pPr>
            <w:r>
              <w:rPr>
                <w:rFonts w:ascii="Times New Roman" w:hAnsi="Times New Roman" w:cs="Times New Roman" w:eastAsia="Times New Roman"/>
                <w:b w:val="false"/>
                <w:sz w:val="26"/>
              </w:rPr>
              <w:t>22-08-2022</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phòng học chuyên môn, phòng thi, kiểm tra
Hệ thống phòng học chuyên môn và phòng thi, kiểm tra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Phòng học pháp luật về giao thông đường thủy nội địa, phòng học điều khiển phương tiện thủy nội địa, phòng học lý thuyết máy - điện và phòng học thủy nghiệp cơ bản. Phòng thi, kiểm tra có thể được bố trí chung với các phòng học chuyên môn.
b) Xưởng thực hành
Các xưởng thực hành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Xưởng thực hành nguội - cơ khí, thực hành máy - điện.
c) Khu vực dạy thực hành lái và vận hành máy
- Khu vực dạy thực hành lái và vận hành máy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 Phương tiện thực hành phải có giấy tờ hợp pháp về đăng ký, đăng kiểm, các trang thiết bị phục vụ hành trình, cứu sinh, cứu hỏa, cứu thủng và phải treo biển "Phương tiện huấn luyện" ở vị trí dễ quan sát trong khi huấn luyện.”.
d) Nội dung, chương trình đào tạo
Nội dung, chương trình đào tạo thuyền viên, người lái phương tiện thủy nội địa được thực hiện theo quy định của Bộ trưởng Bộ Xây dựng.
đ) Đội ngũ giáo viên
- Tiêu chuẩn của đội ngũ giáo viên được thực hiện theo quy định của pháp luật về giáo dục nghề nghiệp.
- Đối với giáo viên dạy thực hành, ngoài tiêu chuẩn theo quy định của pháp luật về giáo dục nghề nghiệp, còn phải bảo đảm các tiêu chuẩn sau:
+ Giáo viên dạy thực hành thuyền trưởng, máy trưởng phải có giấy chứng nhận khả năng chuyên môn thuyền trưởng, máy trường cao hơn ít nhất 01 hạng so với hạng giấy chứng nhận khả năng chuyên môn được phân công giảng dạy;
+ Giáo viên dạy thực hành thuyền trưởng, máy trưởng hạng nhất phải có giấy chứng nhận khả năng chuyên môn thuyền trưởng, máy trưởng hạng nhất và có thời gian đảm nhiệm chức danh hạng nhất từ 36 tháng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2026-04-30T13:27:50Z</dcterms:created>
  <dc:creator>Apache POI</dc:creator>
</cp:coreProperties>
</file>