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trình báo đường thủy nội địa hoặc trình báo đường thủy nội địa bổ sung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a) Nộp hồ sơ TTHC:
- Tổ chức, cá nhân gửi hồ sơ đề nghị xác nhận trình báo đường thủy nội địa đến Cảnh sát đường thủy hoặc Ủy ban nhân dân gần nhất nơi xảy ra tai nạn, sự cố.
- Thời hạn trình xác nhận trình báo đường thủy nội địa bao gồm:
+ Trường hợp phương tiện thủy nội địa, tàu biển, tàu cá bị tai nạn, sự cố trong vùng nước cảng, bến thủy nội địa thì trình báo đường thủy nội địa phải được trình Cảnh sát đường thủy hoặc Ủy ban nhân dân gần nhất nơi xảy ra tai nạn, sự cố trong thời hạn 48 (bốn mươi tám) giờ sau khi xảy ra tai nạn, sự cố.
+ Trường hợp phương tiện thủy nội địa, tàu biển, tàu cá bị tai nạn, sự cố trên đường thủy nội địa (ngoài vùng nước cảng, bến thủy nội địa) thì trình báo đường thủy nội địa phải được trình Cảnh sát đường thủy hoặc Ủy ban nhân dân gần nhất  nơi xảy ra tai nạn, sự cố chậm nhất 03 (ba) ngày làm việc, kể từ thời điểm xảy ra tai nạn, sự cố hoặc kể từ khi phương tiện thủy nội địa, tàu biển, tàu cá ghé vào cảng, bến thủy nội địa đầu tiên sau khi xảy ra tai nạn, sự cố.
+ Trường hợp tai nạn, sự cố xảy ra có liên quan đến hàng hóa trong hầm hàng thì trình báo đường thủy nội địa phải được trình Cảnh sát đường thủy hoặc Ủy ban nhân dân gần nhất  nơi xảy ra tai nạn, sự cố trước khi mở nắp hầm hàng. Trường hợp tai nạn, sự cố xảy ra với hàng hóa trong quá trình làm hàng (đã mở nắp hầm hàng) thì thực hiện, như trường hợp phương tiện thủy nội địa, tàu biển, tàu cá bị tai nạn, sự cố trên đường thủy nội địa.
+ Trường hợp không thể trình báo đường thủy nội địa trong thời hạn quy định thì trong trình báo đường thủy nội địa phải ghi rõ nguyên nhân của sự chậm trễ đó.
b) Giải quyết TTHC
- Khi thuyền trưởng hoặc người lái phương tiện hoặc người được thuyền trưởng, người lái phương tiện ủy quyền nộp và xuất trình đủ các giấy tờ theo quy định, cơ quan có thẩm quyền tiến hành xác nhận việc trình báo đường thủy nội địa vào bản trình báo đường thủy nội địa.
- Thời hạn giải quyết xác nhận việc trình báo đường thủy nội địa không quá 02 (hai) giờ làm việc, kể từ khi đã nhận đủ các giấy tờ hợp lệ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Giờ</w:t>
            </w:r>
          </w:p>
        </w:tc>
        <w:tc>
          <w:p/>
          <w:p>
            <w:pPr>
              <w:spacing w:after="0" w:before="0" w:lineRule="auto" w:line="276"/>
              <w:jc w:val="left"/>
            </w:pPr>
            <w:r>
              <w:rPr>
                <w:rFonts w:ascii="Times New Roman" w:hAnsi="Times New Roman" w:cs="Times New Roman" w:eastAsia="Times New Roman"/>
                <w:b w:val="false"/>
                <w:sz w:val="26"/>
              </w:rPr>
              <w:t>Phí :  Đồng</w:t>
              <w:t xml:space="preserve"> (Phí trình báo đường thủy nội địa: bằng 50% mức thu phí quy định tại Điểm 3, Biểu mức thu phí, lệ phí tại Khoản 1, Điều 4 Thông tư số 248/2016/TT-BTC ngày 11/11/2016 của Bộ Trưởng Bộ Tài Chính quy định mức thu, chế độ thu, nộp, quản lý và sử dụng phí, lệ phí áp dụng tại cảng, bến thủy nội địa.)</w:t>
            </w:r>
          </w:p>
        </w:tc>
        <w:tc>
          <w:p/>
          <w:p>
            <w:pPr>
              <w:spacing w:after="0" w:before="0" w:lineRule="auto" w:line="276"/>
              <w:jc w:val="left"/>
            </w:pPr>
            <w:r>
              <w:rPr>
                <w:rFonts w:ascii="Times New Roman" w:hAnsi="Times New Roman" w:cs="Times New Roman" w:eastAsia="Times New Roman"/>
                <w:b w:val="false"/>
                <w:sz w:val="26"/>
              </w:rPr>
              <w:t>Không quá 02 (hai) giờ làm việc, kể từ khi đã nhận đủ các giấy tờ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phương tiện thủy nội địa, tàu cá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Tự họa có mô tả sơ đồ vị trí xảy ra tai nạn, sự cố và đính kèm hình ảnh (nếu có),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nộp đối với tàu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báo đường thủy nội địa theo mẫu (02 bản)</w:t>
            </w:r>
          </w:p>
        </w:tc>
        <w:tc>
          <w:p/>
          <w:p>
            <w:pPr>
              <w:spacing w:after="0" w:before="0" w:lineRule="auto" w:line="276"/>
              <w:jc w:val="left"/>
            </w:pPr>
            <w:r>
              <w:rPr>
                <w:rFonts w:ascii="Times New Roman" w:hAnsi="Times New Roman" w:cs="Times New Roman" w:eastAsia="Times New Roman"/>
                <w:b w:val="false"/>
                <w:sz w:val="26"/>
              </w:rPr>
              <w:t>MauTrinhbaoTN.docx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trích sao Nhật ký hàng hải những phần có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trích sao Hải đồ liên quan đến vụ việc (02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tàu biển: Bản trích sao Nhật ký hàng hải những phần có liên quan đến vụ việc, Bản trích sao Hải đồ liên quan đến vụ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phương tiện thủy nội địa, tàu cá: Bản sao Tự họa có mô tả sơ đồ vị trí xảy ra tai nạn, sự cố và đính kèm hình ảnh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bản trình báo đường thủy nội địa, ngoài chữ ký của thuyền trưởng hoặc người lái phương tiện và đóng dấu của tàu biển, phương tiện thủy nội địa, tàu cá (nếu có con dấu), còn phải có chữ ký của máy trưởng hoặc 01 (một) thủy thủ với tư cách là người làm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Ngoài số lượng trình báo đường thủy nội địa được quy định nói trên, thuyền trưởng hoặc người lái phương tiện có thể đề nghị xác nhận thêm các bản khác có cùng nội dung, nếu thấy cần thiết.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tại trụ sở Cảnh sát đường thủy hoặc Ủy ban nhân dân gần nhất nơi xảy ra tai nạn, sự cố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việc trình báo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69/2014/TT-BGTVT</w:t>
            </w:r>
          </w:p>
        </w:tc>
        <w:tc>
          <w:p/>
          <w:p>
            <w:pPr>
              <w:spacing w:after="0" w:before="0" w:lineRule="auto" w:line="276"/>
              <w:jc w:val="left"/>
            </w:pPr>
            <w:r>
              <w:rPr>
                <w:rFonts w:ascii="Times New Roman" w:hAnsi="Times New Roman" w:cs="Times New Roman" w:eastAsia="Times New Roman"/>
                <w:b w:val="false"/>
                <w:sz w:val="26"/>
              </w:rPr>
              <w:t>Quy định thủ tục xác nhận việc trình báo đường thủy nội địa</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2026-04-30T13:41:50Z</dcterms:created>
  <dc:creator>Apache POI</dc:creator>
</cp:coreProperties>
</file>