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1.004291.000.00.00.H19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thông báo hàng hải về thiết lập mới báo hiệu hàng hải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Chủ đầu tư hoặc người khai thác gửi hồ sơ đề nghị công bố thông báo hàng hải đến Doanh nghiệp bảo đảm an toàn hàng hải.</w:t>
      </w:r>
    </w:p>
    <w:p>
      <w:pPr>
        <w:spacing w:after="0" w:before="0" w:lineRule="auto" w:line="276"/>
        <w:jc w:val="both"/>
      </w:pPr>
      <w:r>
        <w:rPr>
          <w:rFonts w:ascii="Times New Roman" w:hAnsi="Times New Roman" w:cs="Times New Roman" w:eastAsia="Times New Roman"/>
          <w:b w:val="false"/>
          <w:sz w:val="26"/>
        </w:rPr>
        <w:t>b) Giải quyết TTHC:
- Trường hợp hồ sơ chưa hợp lệ thì thời gian 02 ngày làm việc kể từ khi nhận được hồ sơ, Doanh nghiệp bảo đảm an toàn hàng hải hướng dẫn hoàn thiện hồ sơ theo quy định;
- Nếu hồ sơ hợp lệ thì trong thời hạn 05 ngày làm việc kể từ ngày nhận đủ hồ sơ, Doanh nghiệp bảo đảm an toàn hàng hải có trách nhiệm kiểm tra hồ sơ, công bố thông báo hàng hải; trường hợp không công bố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biểu mẫu điện tử Đơn đề nghị của chủ đầu tư hoặc người khai thác theo mẫu;</w:t>
            </w:r>
          </w:p>
        </w:tc>
        <w:tc>
          <w:p/>
          <w:p>
            <w:pPr>
              <w:spacing w:after="0" w:before="0" w:lineRule="auto" w:line="276"/>
              <w:jc w:val="left"/>
            </w:pPr>
            <w:r>
              <w:rPr>
                <w:rFonts w:ascii="Times New Roman" w:hAnsi="Times New Roman" w:cs="Times New Roman" w:eastAsia="Times New Roman"/>
                <w:b w:val="false"/>
                <w:sz w:val="26"/>
              </w:rPr>
              <w:t>Mauonenghiuabaohieuhanghaivaosudung.docx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hoặc bản sao điện tử văn bản chấp thuận của cấp có thẩm quyền về việc thiết lập báo hiệu hàng hải;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bản sao điện tử thiết kế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bản sao điện tử Biên bản nghiệm thu bàn giao công trình đưa vào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Doanh nghiệp bảo đảm an toàn hàng hải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Doanh nghiệp bảo đảm an toàn hàng hải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hàng hải về thiết lập mới báo hiệu hàng hải.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95/2015/QH13</w:t>
            </w:r>
          </w:p>
        </w:tc>
        <w:tc>
          <w:p/>
          <w:p>
            <w:pPr>
              <w:spacing w:after="0" w:before="0" w:lineRule="auto" w:line="276"/>
              <w:jc w:val="left"/>
            </w:pPr>
            <w:r>
              <w:rPr>
                <w:rFonts w:ascii="Times New Roman" w:hAnsi="Times New Roman" w:cs="Times New Roman" w:eastAsia="Times New Roman"/>
                <w:b w:val="false"/>
                <w:sz w:val="26"/>
              </w:rPr>
              <w:t>Hàng hải</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58/2017/NĐ-CP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Bộ luật Hàng hải Việt Nam về quản lý hoạt động hàng hải</w:t>
            </w:r>
          </w:p>
        </w:tc>
        <w:tc>
          <w:p/>
          <w:p>
            <w:pPr>
              <w:spacing w:after="0" w:before="0" w:lineRule="auto" w:line="276"/>
              <w:jc w:val="left"/>
            </w:pPr>
            <w:r>
              <w:rPr>
                <w:rFonts w:ascii="Times New Roman" w:hAnsi="Times New Roman" w:cs="Times New Roman" w:eastAsia="Times New Roman"/>
                <w:b w:val="false"/>
                <w:sz w:val="26"/>
              </w:rPr>
              <w:t>10-05-2017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2026-04-30T13:33:01Z</dcterms:created>
  <dc:creator>Apache POI</dc:creator>
</cp:coreProperties>
</file>