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1.001061.000.00.00.H19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thi công nút giao đấu nối vào đường quốc lộ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dự án xây dựng nút giao đấu nối vào đường quốc lộ đang khai thác gửi hồ sơ đề nghị đến cơ quan có thẩm quyền:
- Đối với quốc lộ do Bộ Xây dựng quản lý:
+ Cục Đường bộ Việt Nam chấp thuận thiết kế nút giao đấu nối vào đường cao tốc, đường quốc lộ được quy hoạch thành cao tốc; 
+ Khu Quản lý đường bộ thực hiện đối với các đường quốc lộ còn lại thuộc phạm vi quản lý;
- Đối với quốc lộ do Uỷ ban nhân dân cấp tỉnh quản lý: Uỷ ban nhân dân cấp tỉnh tổ chức thực hiện chấp thuận thiết kế nút giao đấu nối vào đường quốc lộ đang khai thác.</w:t>
      </w:r>
    </w:p>
    <w:p>
      <w:pPr>
        <w:spacing w:after="0" w:before="0" w:lineRule="auto" w:line="276"/>
        <w:jc w:val="both"/>
      </w:pPr>
      <w:r>
        <w:rPr>
          <w:rFonts w:ascii="Times New Roman" w:hAnsi="Times New Roman" w:cs="Times New Roman" w:eastAsia="Times New Roman"/>
          <w:b w:val="false"/>
          <w:sz w:val="26"/>
        </w:rPr>
        <w:t>b) Giải quyết TTHC:
Đối với hồ sơ nộp trực tiếp, cơ quan có thẩm quyền thực hiện kiểm tra thành phần hồ sơ, nếu đủ thì tiếp nhận và viết phiếu hẹn trả kết quả, nếu không đủ thì hướng dẫn chủ đầu tư hoàn thiện hồ sơ theo quy định;
- Đối với hồ sơ nộp gián tiếp, trong thời hạn 02 ngày làm việc kể từ ngày nhận được hồ sơ, cơ quan có thẩm quyền kiểm tra thành phần hồ sơ, nếu đủ thì tiếp nhận, nếu không đủ, có văn bản thông báo đến tổ chức, cá nhân để bổ sung, hoàn thiện;
- Trong thời hạn 07 ngày làm việc kể từ khi nhận đủ hồ sơ theo quy định, cơ quan có thẩm quyền tiến hành xem xét hồ sơ, nếu đủ điều kiện thì có văn bản chấp thuận thiết kế nút giao đấu nối vào đường quốc lộ đang khai thác,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quy định</w:t>
            </w:r>
          </w:p>
        </w:tc>
        <w:tc>
          <w:p/>
          <w:p>
            <w:pPr>
              <w:spacing w:after="0" w:before="0" w:lineRule="auto" w:line="276"/>
              <w:jc w:val="left"/>
            </w:pPr>
            <w:r>
              <w:rPr>
                <w:rFonts w:ascii="Times New Roman" w:hAnsi="Times New Roman" w:cs="Times New Roman" w:eastAsia="Times New Roman"/>
                <w:b w:val="false"/>
                <w:sz w:val="26"/>
              </w:rPr>
              <w:t>Don_TT1.001061.docx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Thuyết minh và bản vẽ biện pháp tổ chức thi công nút giao đấu nối vào quốc lộ đang khai thác; biện pháp bảo đảm giao thông đường bộ khi thi công xây dựng nút giao đấu nối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thành phố Đồng Nai,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Trung tâm Phục vụ hành chính công cấp xã.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 công nút giao đấu nối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22/2014/TT-BGTVT</w:t>
            </w:r>
          </w:p>
        </w:tc>
        <w:tc>
          <w:p/>
          <w:p>
            <w:pPr>
              <w:spacing w:after="0" w:before="0" w:lineRule="auto" w:line="276"/>
              <w:jc w:val="left"/>
            </w:pPr>
            <w:r>
              <w:rPr>
                <w:rFonts w:ascii="Times New Roman" w:hAnsi="Times New Roman" w:cs="Times New Roman" w:eastAsia="Times New Roman"/>
                <w:b w:val="false"/>
                <w:sz w:val="26"/>
              </w:rPr>
              <w:t>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06-06-2014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41/2024/TT-BGTVT</w:t>
            </w:r>
          </w:p>
        </w:tc>
        <w:tc>
          <w:p/>
          <w:p>
            <w:pPr>
              <w:spacing w:after="0" w:before="0" w:lineRule="auto" w:line="276"/>
              <w:jc w:val="left"/>
            </w:pPr>
            <w:r>
              <w:rPr>
                <w:rFonts w:ascii="Times New Roman" w:hAnsi="Times New Roman" w:cs="Times New Roman" w:eastAsia="Times New Roman"/>
                <w:b w:val="false"/>
                <w:sz w:val="26"/>
              </w:rPr>
              <w:t>Quy định về quản lý, vận hành, khai thác và bảo trì kết cấu hạ tầng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36/2024/TT-BGTVT</w:t>
            </w:r>
          </w:p>
        </w:tc>
        <w:tc>
          <w:p/>
          <w:p>
            <w:pPr>
              <w:spacing w:after="0" w:before="0" w:lineRule="auto" w:line="276"/>
              <w:jc w:val="left"/>
            </w:pPr>
            <w:r>
              <w:rPr>
                <w:rFonts w:ascii="Times New Roman" w:hAnsi="Times New Roman" w:cs="Times New Roman" w:eastAsia="Times New Roman"/>
                <w:b w:val="false"/>
                <w:sz w:val="26"/>
              </w:rPr>
              <w:t>Quy định về tổ chức, quản lý hoạt động vận tải bằng xe ô tô và hoạt động của bến xe, bãi đỗ xe, trạm dừng nghỉ, điểm dừng xe trên đường bộ; quy định trình tự, thủ tục đưa bến xe, trạm dừng nghỉ vào khai thác</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40/2024/TT-BGTVT</w:t>
            </w:r>
          </w:p>
        </w:tc>
        <w:tc>
          <w:p/>
          <w:p>
            <w:pPr>
              <w:spacing w:after="0" w:before="0" w:lineRule="auto" w:line="276"/>
              <w:jc w:val="left"/>
            </w:pPr>
            <w:r>
              <w:rPr>
                <w:rFonts w:ascii="Times New Roman" w:hAnsi="Times New Roman" w:cs="Times New Roman" w:eastAsia="Times New Roman"/>
                <w:b w:val="false"/>
                <w:sz w:val="26"/>
              </w:rPr>
              <w:t>Quy định về phòng, chống, khắc phục hậu quả lụt thiên tai trong lĩnh vực đường bộ</w:t>
            </w:r>
          </w:p>
        </w:tc>
        <w:tc>
          <w:p/>
          <w:p>
            <w:pPr>
              <w:spacing w:after="0" w:before="0" w:lineRule="auto" w:line="276"/>
              <w:jc w:val="left"/>
            </w:pPr>
            <w:r>
              <w:rPr>
                <w:rFonts w:ascii="Times New Roman" w:hAnsi="Times New Roman" w:cs="Times New Roman" w:eastAsia="Times New Roman"/>
                <w:b w:val="false"/>
                <w:sz w:val="26"/>
              </w:rPr>
              <w:t>15-11-2024</w:t>
            </w:r>
          </w:p>
        </w:tc>
        <w:tc>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72/2025/TT-BXD</w:t>
            </w:r>
          </w:p>
        </w:tc>
        <w:tc>
          <w:p/>
          <w:p>
            <w:pPr>
              <w:spacing w:after="0" w:before="0" w:lineRule="auto" w:line="276"/>
              <w:jc w:val="left"/>
            </w:pPr>
            <w:r>
              <w:rPr>
                <w:rFonts w:ascii="Times New Roman" w:hAnsi="Times New Roman" w:cs="Times New Roman" w:eastAsia="Times New Roman"/>
                <w:b w:val="false"/>
                <w:sz w:val="26"/>
              </w:rPr>
              <w:t>Thông tư 72/2025/TT-BXD</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2503/QĐ-BXD</w:t>
            </w:r>
          </w:p>
        </w:tc>
        <w:tc>
          <w:p/>
          <w:p>
            <w:pPr>
              <w:spacing w:after="0" w:before="0" w:lineRule="auto" w:line="276"/>
              <w:jc w:val="left"/>
            </w:pPr>
            <w:r>
              <w:rPr>
                <w:rFonts w:ascii="Times New Roman" w:hAnsi="Times New Roman" w:cs="Times New Roman" w:eastAsia="Times New Roman"/>
                <w:b w:val="false"/>
                <w:sz w:val="26"/>
              </w:rPr>
              <w:t>Quyết định 2503/QĐ-BXD năm 2026 công bố thủ tục hành chính được sửa đổi, bổ sung, bãi bỏ trong lĩnh vực đường bộ thuộc phạm vi chức năng quản lý nhà nước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Vị trí đấu nối được thiết kế, xây dựng tuân thủ quy chuẩn, tiêu chuẩn kỹ thuật; phù hợp với cấp đường và bảo đảm an toàn giao thông, năng lực thông hành của tuyến đường;
- Trường hợp đấu nối đường khác với đường cao tốc, ngoài các quy định trên, khoảng cách giữa các vị trí đấu nối phải tuân thủ quy chuẩn, tiêu chuẩn kỹ thuật về thiết kế đường cao tốc.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2026-04-30T13:27:55Z</dcterms:created>
  <dc:creator>Apache POI</dc:creator>
</cp:coreProperties>
</file>