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1.000344.000.00.00.H19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vận tải hàng hóa siêu trường hoặc hàng hóa siêu trọng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phê duyệt phương án vận tải hàng hóa siêu trường hoặc hàng hóa siêu trọng trên đường thủy nội địa đến cơ quan có thẩm quyền, cụ thể đến:</w:t>
      </w:r>
    </w:p>
    <w:p>
      <w:pPr>
        <w:spacing w:after="0" w:before="0" w:lineRule="auto" w:line="276"/>
        <w:jc w:val="both"/>
      </w:pPr>
      <w:r>
        <w:rPr>
          <w:rFonts w:ascii="Times New Roman" w:hAnsi="Times New Roman" w:cs="Times New Roman" w:eastAsia="Times New Roman"/>
          <w:b w:val="false"/>
          <w:sz w:val="26"/>
        </w:rPr>
        <w:t>+ Cục Đường thủy nội địa Việt Nam hoặc Chi Cục Đường thủy nội địa khu vực (đối với phương tiện thủy nội địa rời cảng thủy nội địa và hành trình trên tuyến đường thủy liên tỉnh);</w:t>
      </w:r>
    </w:p>
    <w:p>
      <w:pPr>
        <w:spacing w:after="0" w:before="0" w:lineRule="auto" w:line="276"/>
        <w:jc w:val="both"/>
      </w:pPr>
      <w:r>
        <w:rPr>
          <w:rFonts w:ascii="Times New Roman" w:hAnsi="Times New Roman" w:cs="Times New Roman" w:eastAsia="Times New Roman"/>
          <w:b w:val="false"/>
          <w:sz w:val="26"/>
        </w:rPr>
        <w:t xml:space="preserve"> + Cục Hàng hải Việt Nam hoặc Chi cục Hàng hải (đối với phương tiện thủy nội địa rời bến cảng biển);</w:t>
      </w:r>
    </w:p>
    <w:p>
      <w:pPr>
        <w:spacing w:after="0" w:before="0" w:lineRule="auto" w:line="276"/>
        <w:jc w:val="both"/>
      </w:pPr>
      <w:r>
        <w:rPr>
          <w:rFonts w:ascii="Times New Roman" w:hAnsi="Times New Roman" w:cs="Times New Roman" w:eastAsia="Times New Roman"/>
          <w:b w:val="false"/>
          <w:sz w:val="26"/>
        </w:rPr>
        <w:t xml:space="preserve"> + Sở Giao thông vận tải (đối với phương tiện thủy nội địa rời cảng thủy nội địa và hành trình trên tuyến đường thủy nội địa nội tỉnh).</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có thẩm quyền phê duyệt tiếp nhận, kiểm tra hồ sơ và xử lý như sau:</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cấp giấy biên nhận hồ sơ và hẹn trả kết quả theo thời hạn quy định; nếu hồ sơ không đầy đủ theo quy định thì trả lại ngay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Trường hợp hồ sơ nhận qua hệ thống bưu chính hoặc hình thức phù hợp khác, nếu hồ sơ không đầy đủ theo quy định, trong thời gian 01 ngày làm việc, kể từ ngày nhận được hồ sơ, Cơ quan có thẩm quyền phê duyệt có văn bản gửi tổ chức, cá nhân yêu cầu bổ sung, hoàn thiện lại hồ sơ;</w:t>
      </w:r>
    </w:p>
    <w:p>
      <w:pPr>
        <w:spacing w:after="0" w:before="0" w:lineRule="auto" w:line="276"/>
        <w:jc w:val="both"/>
      </w:pPr>
      <w:r>
        <w:rPr>
          <w:rFonts w:ascii="Times New Roman" w:hAnsi="Times New Roman" w:cs="Times New Roman" w:eastAsia="Times New Roman"/>
          <w:b w:val="false"/>
          <w:sz w:val="26"/>
        </w:rPr>
        <w:t>- Trong thời hạn 02 ngày làm việc, kể từ ngày nhận được đầy đủ hồ sơ theo quy định, Cơ quan có thẩm quyền phê duyệt có trách nhiệm tổ chức kiểm tra, phê duyệt phương án vận tải hàng hóa siêu trường, hàng hóa siêu trọng theo mẫu và gửi cho tổ chức, cá nhân để thực hiện. Trường hợp không phê duyệt phương án phải có văn bản trả lời nêu rõ lý do. Tổ chức, cá nhân không phải nộp phí hoặc lệ phí đối với việc phê duyệt phương án vận tải.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phê duyệt phương án vận tải hàng hóa siêu trường hoặc hàng hóa siêu trọng trên đường thủy nội địa theo mẫu</w:t>
            </w:r>
          </w:p>
        </w:tc>
        <w:tc>
          <w:p/>
          <w:p>
            <w:pPr>
              <w:spacing w:after="0" w:before="0" w:lineRule="auto" w:line="276"/>
              <w:jc w:val="left"/>
            </w:pPr>
            <w:r>
              <w:rPr>
                <w:rFonts w:ascii="Times New Roman" w:hAnsi="Times New Roman" w:cs="Times New Roman" w:eastAsia="Times New Roman"/>
                <w:b w:val="false"/>
                <w:sz w:val="26"/>
              </w:rPr>
              <w:t>don de nghi.doc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vận tải hàng hóa siêu trường hoặc hàng hóa siêu trọng theo các nội dung theo mẫu.</w:t>
            </w:r>
          </w:p>
        </w:tc>
        <w:tc>
          <w:p/>
          <w:p>
            <w:pPr>
              <w:spacing w:after="0" w:before="0" w:lineRule="auto" w:line="276"/>
              <w:jc w:val="left"/>
            </w:pPr>
            <w:r>
              <w:rPr>
                <w:rFonts w:ascii="Times New Roman" w:hAnsi="Times New Roman" w:cs="Times New Roman" w:eastAsia="Times New Roman"/>
                <w:b w:val="false"/>
                <w:sz w:val="26"/>
              </w:rPr>
              <w:t>phuong an van tai.doc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Chi Cục Hàng hải tại thành phố Hải Phòng, Chi Cục Hàng hải tại thành phố Hồ Chí Minh, Cục Đường thủy nội địa Việt Nam, Chi cục Đường thủy nội địa phía Bắc, Chi cục Đường thủy nội địa Khu vực III, Sở Giao thông vận tải - tỉnh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hải và Đường thủy Việt Nam, Chi Cục Hàng hải tại thành phố Hải Phòng, Chi Cục Hàng hải tại thành phố Hồ Chí Minh, Cục Đường thủy nội địa Việt Nam, Chi cục Đường thủy nội địa phía Bắc, Chi cục Đường thủy nội địa Khu vực III, Sở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Số 236,Đường Phan Trung-Phường Tân Tiến- Thành phố Biên Hòa-Tỉnh Đồng Nai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vận tải hàng hóa siêu trường hoặc hàng hóa siêu trọng trên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110/2014/NĐ-CP</w:t>
            </w:r>
          </w:p>
        </w:tc>
        <w:tc>
          <w:p/>
          <w:p>
            <w:pPr>
              <w:spacing w:after="0" w:before="0" w:lineRule="auto" w:line="276"/>
              <w:jc w:val="left"/>
            </w:pPr>
            <w:r>
              <w:rPr>
                <w:rFonts w:ascii="Times New Roman" w:hAnsi="Times New Roman" w:cs="Times New Roman" w:eastAsia="Times New Roman"/>
                <w:b w:val="false"/>
                <w:sz w:val="26"/>
              </w:rPr>
              <w:t>Quy định điều kiện kinh doanh vận tải đường thủy nội địa</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24/2015/NĐ-CP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một số điều của Luật Giao thông đường thủy nội địa và 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27-02-2015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61/2015/TT-BGTVT</w:t>
            </w:r>
          </w:p>
        </w:tc>
        <w:tc>
          <w:p/>
          <w:p>
            <w:pPr>
              <w:spacing w:after="0" w:before="0" w:lineRule="auto" w:line="276"/>
              <w:jc w:val="left"/>
            </w:pPr>
            <w:r>
              <w:rPr>
                <w:rFonts w:ascii="Times New Roman" w:hAnsi="Times New Roman" w:cs="Times New Roman" w:eastAsia="Times New Roman"/>
                <w:b w:val="false"/>
                <w:sz w:val="26"/>
              </w:rPr>
              <w:t>Quy định về vận tải hàng hóa trên đường thủy nội địa</w:t>
            </w:r>
          </w:p>
        </w:tc>
        <w:tc>
          <w:p/>
          <w:p>
            <w:pPr>
              <w:spacing w:after="0" w:before="0" w:lineRule="auto" w:line="276"/>
              <w:jc w:val="left"/>
            </w:pPr>
            <w:r>
              <w:rPr>
                <w:rFonts w:ascii="Times New Roman" w:hAnsi="Times New Roman" w:cs="Times New Roman" w:eastAsia="Times New Roman"/>
                <w:b w:val="false"/>
                <w:sz w:val="26"/>
              </w:rPr>
              <w:t>02-11-2015</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2026-04-30T13:29:04Z</dcterms:created>
  <dc:creator>Apache POI</dc:creator>
</cp:coreProperties>
</file>