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1.000314.000.00.00.H19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2210/QĐ-UBND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vị trí đấu nối tạm vào đường bộ đang khai thác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có nhu cầu đấu nối tạm thời gửi hồ sơ đề nghị Chấp thuận thiết kế kỹ thuật và phương án tổ chức giao thông của nút đấu nối tạm thời có thời hạn vào quốc lộ đến Sở Xây dựng.</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Sở Xây dựng tiếp nhận hồ sơ. Đối với trường hợp nộp trực tiếp, sau khi kiểm tra thành phần hồ sơ, nếu đúng quy định thì tiếp nhận hồ sơ; nếu không đúng quy định, hướng dẫn tổ chức, cá nhân hoàn thiện hồ sơ. Đối với trường hợp nộp qua hệ thống bưu chính hoặc bằng các hình thức phù hợp khác, cơ quan có thẩm quyền tiếp nhận hồ sơ. Trường hợp hồ sơ chưa đầy đủ theo quy định, chậm nhất sau 02 ngày làm việc kể từ ngày nhận hồ sơ phải có văn bản hướng dẫn cho tổ chức, cá nhân hoàn thiện.</w:t>
      </w:r>
    </w:p>
    <w:p>
      <w:pPr>
        <w:spacing w:after="0" w:before="0" w:lineRule="auto" w:line="276"/>
        <w:jc w:val="both"/>
      </w:pPr>
      <w:r>
        <w:rPr>
          <w:rFonts w:ascii="Times New Roman" w:hAnsi="Times New Roman" w:cs="Times New Roman" w:eastAsia="Times New Roman"/>
          <w:b w:val="false"/>
          <w:sz w:val="26"/>
        </w:rPr>
        <w:t>Sở Xây dựng thẩm định hồ sơ, trình Ủy ban nhân dân tỉnh; Ủy ban nhân dân tỉnh gửi văn bản đề nghị thỏa thuận điểm đấu nối tạm thời đến Tổng cục Đường bộ Việt Nam kèm theo hồ sơ quy định tại khoản 3 Điều 28 của Thông tư số 50/2015/TT-BGTVT. Văn bản Ủy ban nhân dân tỉnh nêu rõ lý do, vị trí, lý trình điểm đấu nối, thời gian sử dụng điểm đấu nối tạm thời và ý kiến liên quan đến hoàn trả hiện trạng ban đầu.</w:t>
      </w:r>
    </w:p>
    <w:p>
      <w:pPr>
        <w:spacing w:after="0" w:before="0" w:lineRule="auto" w:line="276"/>
        <w:jc w:val="both"/>
      </w:pPr>
      <w:r>
        <w:rPr>
          <w:rFonts w:ascii="Times New Roman" w:hAnsi="Times New Roman" w:cs="Times New Roman" w:eastAsia="Times New Roman"/>
          <w:b w:val="false"/>
          <w:sz w:val="26"/>
        </w:rPr>
        <w:t>Tổng cục Đường bộ Việt Nam xem xét, chấp thuận đấu nối tạm thời trong thời hạn 10 ngày làm việc kể từ ngày nhận đủ hồ sơ theo quy định; trường hợp không chấp thuận đấu nối tạm thời phải trả lời bằng văn bản cho Ủy ban nhân dân tỉnh.</w:t>
      </w:r>
    </w:p>
    <w:p>
      <w:pPr>
        <w:spacing w:after="0" w:before="0" w:lineRule="auto" w:line="276"/>
        <w:jc w:val="both"/>
      </w:pPr>
      <w:r>
        <w:rPr>
          <w:rFonts w:ascii="Times New Roman" w:hAnsi="Times New Roman" w:cs="Times New Roman" w:eastAsia="Times New Roman"/>
          <w:b w:val="false"/>
          <w:sz w:val="26"/>
        </w:rPr>
        <w:t>Trong thời hạn không quá 05 ngày kể từ ngày có văn bản chấp thuận của Tổng cục Đường bộ Việt Nam, Ủy ban nhân dân tỉnh có văn bản trả lời chủ đầu tư dự 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07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07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07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Văn bản chấp thuận chủ trương đầu tư hoặc quyết định phê duyệt dự án đầu tư (đối với trường hợp chủ đầu tư dự án đề nghị đấu nối tạm); hợp đồng thi công xây dựng dự án đối với trường hợp nhà thầu đề nghị đấu nối tạm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Hồ sơ thiết kế bản vẽ thi công nút giao đấu nối tạm; phương án tổ chức giao thông của nút giao đấu nối tạm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Văn bản đề nghị theo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Cấp tỉnh: nộp trực tiếp tại Trung tâm hành chính công tỉnh - Cấp xã: nộp trực tiếp tại Trung tâm phục vụ hành chính công cấp xã. - Qua dịch vụ Bưu chính công ích. - Trực tuyến Qua Cổng DVC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vị trí nút giao đấu nối tạm vào đường bộ đang khai thác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165/2024/NĐ-CP</w:t>
            </w:r>
          </w:p>
        </w:tc>
        <w:tc>
          <w:p/>
          <w:p>
            <w:pPr>
              <w:spacing w:after="0" w:before="0" w:lineRule="auto" w:line="276"/>
              <w:jc w:val="left"/>
            </w:pPr>
            <w:r>
              <w:rPr>
                <w:rFonts w:ascii="Times New Roman" w:hAnsi="Times New Roman" w:cs="Times New Roman" w:eastAsia="Times New Roman"/>
                <w:b w:val="false"/>
                <w:sz w:val="26"/>
              </w:rPr>
              <w:t>Quy định chi tiết, hướng dẫn thi hành một số điều của Luật Đường bộ và Điều 77 Luật Trật tự, an toàn giao thông đường bộ.</w:t>
            </w:r>
          </w:p>
        </w:tc>
        <w:tc>
          <w:p/>
          <w:p>
            <w:pPr>
              <w:spacing w:after="0" w:before="0" w:lineRule="auto" w:line="276"/>
              <w:jc w:val="left"/>
            </w:pPr>
            <w:r>
              <w:rPr>
                <w:rFonts w:ascii="Times New Roman" w:hAnsi="Times New Roman" w:cs="Times New Roman" w:eastAsia="Times New Roman"/>
                <w:b w:val="false"/>
                <w:sz w:val="26"/>
              </w:rPr>
              <w:t>26-12-2024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871/QĐ-BXD</w:t>
            </w:r>
          </w:p>
        </w:tc>
        <w:tc>
          <w:p/>
          <w:p>
            <w:pPr>
              <w:spacing w:after="0" w:before="0" w:lineRule="auto" w:line="276"/>
              <w:jc w:val="left"/>
            </w:pPr>
            <w:r>
              <w:rPr>
                <w:rFonts w:ascii="Times New Roman" w:hAnsi="Times New Roman" w:cs="Times New Roman" w:eastAsia="Times New Roman"/>
                <w:b w:val="false"/>
                <w:sz w:val="26"/>
              </w:rPr>
              <w:t>Quyết định số 871/QĐ-BXD ngày 19/6/2025 về việc công bố thủ tục hành chính được sửa đổi, bổ sung trong lĩnh vực đường bộ thuộc phạm vi chức năng quản lý của Bộ Xây dựng</w:t>
            </w:r>
          </w:p>
        </w:tc>
        <w:tc>
          <w:p/>
          <w:p>
            <w:pPr>
              <w:spacing w:after="0" w:before="0" w:lineRule="auto" w:line="276"/>
              <w:jc w:val="left"/>
            </w:pPr>
            <w:r>
              <w:rPr>
                <w:rFonts w:ascii="Times New Roman" w:hAnsi="Times New Roman" w:cs="Times New Roman" w:eastAsia="Times New Roman"/>
                <w:b w:val="false"/>
                <w:sz w:val="26"/>
              </w:rPr>
              <w:t>19-06-2025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Đấu nối tạm thời vào quốc lộ, đường địa phương đang khai thác được thực hiện trong các trường hợp sau:
- Làm đường công vụ phục vụ vận chuyển, khai thác vật liệu và vận chuyển thiết bị thi công xây dựng công trình; thời hạn đấu nối tạm không quá thời gian thực hiện dự án theo quy định của pháp luật về đầu tư công, pháp luật về xây dựng;
- Phục vụ các nhiệm vụ về quốc phòng, an ninh, công tác phòng, chống, khắc phục hậu quả thiên tai, quản lý, khai thác, sử dụng và bảo trì công trình đê điều.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2026-04-30T13:28:40Z</dcterms:created>
  <dc:creator>Apache POI</dc:creator>
</cp:coreProperties>
</file>