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tờ khai trực tiếp tại Trung tâm phục vụ hành chính công cấp xã (sau đây gọi tắt là Bộ phận Một cửa)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chủ giấy phép.
+ Trường hợp hồ sơ hợp lệ, Bộ phận Một cửa chuyển hồ sơ cho phòng chuyên môn về lĩnh vực nông nghiệp và môi trường để kiểm tra thông tin.
- Bước 3: Thẩm định hồ sơ và quyết định phê duyệt tiền cấp quyền:
Kể từ ngày nhận tờ khai, phòng chuyên môn về lĩnh vực nông nghiệp và môi trường có trách nhiệm kiểm tra thông tin trình Chủ tịch Ủy ban nhân dân xã xác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thẩm định hồ sơ: Trong thời hạn 07 ngày làm việc, kể từ ngày nhận hồ sơ hợp lệ, Phòng chuyên môn về lĩnh vực nông nghiệp và môi trường tổ chức kiểm tra nội dung tờ khai, trình Chủ tịch Ủy ban nhân dân cấp xã xác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
- Thời hạn thẩm định hồ sơ: Trong thời hạn 07 ngày làm việc, kể từ ngày nhận hồ sơ hợp lệ, Phòng chuyên môn về lĩnh vực nông nghiệp và môi trường tổ chức kiểm tra nội dung tờ khai, trình Chủ tịch Ủy ban nhân dân cấp xã xác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thẩm định hồ sơ: Trong thời hạn 07 ngày làm việc, kể từ ngàynhận hồ sơ hợp lệ, Phòng chuyên môn về lĩnh vực nông nghiệp và môi trường tổ chức kiểm tra nội dung tờ khai, trình Chủ tịch Ủy ban nhân dân cấp xã xác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sử dụng nước dưới đất tự chảy trong moong khai thác khoáng sát để tuyển quặng, bơm hút nước để tháo khô mỏ) theo Mẫu 14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Mau14.doc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khai thác cho các mục đích với quy mô không vượt quá 10m3/ngày đêm, trừ hộ gia đình khia thác nước dưới đất để dùng cho sinh hoạt của mình) theo Mẫu 13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Mu13.doc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Địa chỉ tiếp nhận hồ sơ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Đăng ký khai thác nước dưới đất theo Mẫu 34a và Mẫu 34b tại Phụ lục I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NĐ 23/2026/NĐ-CP</w:t>
            </w:r>
          </w:p>
        </w:tc>
        <w:tc>
          <w:p/>
          <w:p>
            <w:pPr>
              <w:spacing w:after="0" w:before="0" w:lineRule="auto" w:line="276"/>
              <w:jc w:val="left"/>
            </w:pPr>
            <w:r>
              <w:rPr>
                <w:rFonts w:ascii="Times New Roman" w:hAnsi="Times New Roman" w:cs="Times New Roman" w:eastAsia="Times New Roman"/>
                <w:b w:val="false"/>
                <w:sz w:val="26"/>
              </w:rPr>
              <w:t>Nghị định 23/2026/NĐ-CP ngày 17/01/2026 của Chính phủ sửa đổi, bổ sung một số điều của các Nghị định trong lĩnh vực tài nguyên nước.</w:t>
            </w:r>
          </w:p>
        </w:tc>
        <w:tc>
          <w:p/>
          <w:p>
            <w:pPr>
              <w:spacing w:after="0" w:before="0" w:lineRule="auto" w:line="276"/>
              <w:jc w:val="left"/>
            </w:pPr>
            <w:r>
              <w:rPr>
                <w:rFonts w:ascii="Times New Roman" w:hAnsi="Times New Roman" w:cs="Times New Roman" w:eastAsia="Times New Roman"/>
                <w:b w:val="false"/>
                <w:sz w:val="26"/>
              </w:rPr>
              <w:t>17-01-2026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2026-05-20T08:01:48Z</dcterms:created>
  <dc:creator>Apache POI</dc:creator>
</cp:coreProperties>
</file>