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hạn/điều chỉnh giấy phép xả nước thải vào nguồn nướcvới lưu lượng dưới 30.000m3/ngày đêm đối với hoạt động nuôi trồng thủy sản; với lưu lượng dưới 3.000m3/ngày đêm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Nộp hồ sơ:</w:t>
      </w:r>
    </w:p>
    <w:p>
      <w:pPr>
        <w:spacing w:after="0" w:before="0" w:lineRule="auto" w:line="276"/>
        <w:jc w:val="both"/>
      </w:pPr>
      <w:r>
        <w:rPr>
          <w:rFonts w:ascii="Times New Roman" w:hAnsi="Times New Roman" w:cs="Times New Roman" w:eastAsia="Times New Roman"/>
          <w:b w:val="false"/>
          <w:sz w:val="26"/>
        </w:rPr>
        <w:t xml:space="preserve"> Tổ chức, cá nhân nộp hồ sơ và nộp phí thẩm định hồ sơ đến Sở Tài nguyên và Môi trường.</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2. Kiểm tra hồ sơ:  Sở Tài nguyên và Môi trường có trách nhiệm xem xét, kiểm tra hồ sơ.</w:t>
      </w:r>
    </w:p>
    <w:p>
      <w:pPr>
        <w:spacing w:after="0" w:before="0" w:lineRule="auto" w:line="276"/>
        <w:jc w:val="both"/>
      </w:pPr>
      <w:r>
        <w:rPr>
          <w:rFonts w:ascii="Times New Roman" w:hAnsi="Times New Roman" w:cs="Times New Roman" w:eastAsia="Times New Roman"/>
          <w:b w:val="false"/>
          <w:sz w:val="26"/>
        </w:rPr>
        <w:t xml:space="preserve"> + Trường hợp hồ sơ không hợp lệ, Sở Tài nguyên và Môi trường thông báo cho tổ chức, cá nhân đề nghị cấp phép để bổ sung, hoàn thiện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hồ sơ sau khi đã bổ sung mà vẫn không đáp ứng yêu cầu theo quy định thì Sở Tài nguyên và Môi trường trả lại hồ sơ và thông báo rõ lý do cho tổ chức, cá nhân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3: Thẩm định báo cáo và quyết định cấp phép:  Kể từ ngày nhận đủ hồ sơ hợp lệ, Sở Tài nguyên và Môi trường có trách nhiệm thẩm định báo cáo; nếu cần thiết thì kiểm tra thực tế hiện trường, lập hội đồng thẩm định báo cáo.</w:t>
      </w:r>
    </w:p>
    <w:p>
      <w:pPr>
        <w:spacing w:after="0" w:before="0" w:lineRule="auto" w:line="276"/>
        <w:jc w:val="both"/>
      </w:pPr>
      <w:r>
        <w:rPr>
          <w:rFonts w:ascii="Times New Roman" w:hAnsi="Times New Roman" w:cs="Times New Roman" w:eastAsia="Times New Roman"/>
          <w:b w:val="false"/>
          <w:sz w:val="26"/>
        </w:rPr>
        <w:t xml:space="preserve"> + Trường hợp đủ điều kiện gia hạn, điều chỉnh cấp phép, Sở Tài nguyên và Môi trường trình Ủy ban nhân dân cấp tỉnh; trường hợp không đủ điều kiện để gia hạn, điều chỉnh, Sở Tài nguyên và Môi trường trả lại hồ sơ cho tổ chức, cá nhân và thông báo lý do không gia hạn, điều chỉnh.</w:t>
      </w:r>
    </w:p>
    <w:p>
      <w:pPr>
        <w:spacing w:after="0" w:before="0" w:lineRule="auto" w:line="276"/>
        <w:jc w:val="both"/>
      </w:pPr>
      <w:r>
        <w:rPr>
          <w:rFonts w:ascii="Times New Roman" w:hAnsi="Times New Roman" w:cs="Times New Roman" w:eastAsia="Times New Roman"/>
          <w:b w:val="false"/>
          <w:sz w:val="26"/>
        </w:rPr>
        <w:t xml:space="preserve"> + Trường hợp phải bổ sung, chỉnh sửa để hoàn thiện báo cáo, Sở Tài nguyên và Môi trường gửi văn bản thông báo cho tổ chức, cá nhân đề nghị cấp phép nêu rõ những nội dung cần bổ sung, hoàn thiện.</w:t>
      </w:r>
    </w:p>
    <w:p>
      <w:pPr>
        <w:spacing w:after="0" w:before="0" w:lineRule="auto" w:line="276"/>
        <w:jc w:val="both"/>
      </w:pPr>
      <w:r>
        <w:rPr>
          <w:rFonts w:ascii="Times New Roman" w:hAnsi="Times New Roman" w:cs="Times New Roman" w:eastAsia="Times New Roman"/>
          <w:b w:val="false"/>
          <w:sz w:val="26"/>
        </w:rPr>
        <w:t xml:space="preserve"> Thời gian bổ sung, hoàn thiện hoặc lập lại báo cáo không tính vào thời gian thẩm định báo cáo. Thời gian thẩm định sau khi báo cáo được bổ sung hoàn chỉnh là hai mươi (20) ngày làm việc.</w:t>
      </w:r>
    </w:p>
    <w:p>
      <w:pPr>
        <w:spacing w:after="0" w:before="0" w:lineRule="auto" w:line="276"/>
        <w:jc w:val="both"/>
      </w:pPr>
      <w:r>
        <w:rPr>
          <w:rFonts w:ascii="Times New Roman" w:hAnsi="Times New Roman" w:cs="Times New Roman" w:eastAsia="Times New Roman"/>
          <w:b w:val="false"/>
          <w:sz w:val="26"/>
        </w:rPr>
        <w:t xml:space="preserve"> + Trường hợp phải lập lại báo cáo, Sở Tài nguyên và Môi trường gửi văn bản thông báo cho tổ chức, cá nhân nêu rõ những nội dung báo cáo chưa đạt yêu cầu, phải làm lại và trả lại hồ sơ.</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w:t>
      </w:r>
    </w:p>
    <w:p>
      <w:pPr>
        <w:spacing w:after="0" w:before="0" w:lineRule="auto" w:line="276"/>
        <w:jc w:val="both"/>
      </w:pPr>
      <w:r>
        <w:rPr>
          <w:rFonts w:ascii="Times New Roman" w:hAnsi="Times New Roman" w:cs="Times New Roman" w:eastAsia="Times New Roman"/>
          <w:b w:val="false"/>
          <w:sz w:val="26"/>
        </w:rPr>
        <w:t>Sở Tài nguyên và Môi trường thông báo cho tổ chức, cá nhân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Thời hạn kiểm tra hồ sơ: Trong thời hạn năm (05) ngày làm việc, kể từ ngày nhận hồ sơ, Sở Tài nguyên và Môi trường có trách nhiệm xem xét, kiểm tra hồ sơ.  - Thời hạn thẩm định báo cóa: Trong thời hạn hai mươi lăm (25) ngày làm việc, kể từ ngày nhận đủ hồ sơ hợp lệ, Sở Tài nguyên và Môi trường có trách nhiệm thẩm định báo cáo.  Thời gian bổ sung, hoàn thiện hoặc lập lại báo cáo không tính vào thời gian thẩm định báo cáo. Thời gian thẩm định sau khi báo cáo được bổ sung hoàn chỉnh là hai mươi (20) ngày làm việc.  - Thời hạn trả giấy phép: Trong thời hạn năm (05) ngày làm việc, kể từ ngày nhận được giấy phép của Ủy ban nhân dân tỉnh, Sở Tài nguyên và Môi trường thông báo cho tổ chức, cá nhân đề nghị cấp phép để thực hiện nghĩa vụ tài chính và nhận giấy phép. </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Mức thu phí thẩm định gia hạn, điều chỉnh bằng 50% mức quy định dưới đây:  - Đề án, báo cáo có lưu lượng dưới 100 m³/ngày đêm: 500.000 đồng/báo cáo.  - Đề án, báo cáo có lưu lượng xả từ 100 đến dưới 500 m³/ngày đêm: 1.500.000 đồng/báo cáo.  - Đề án, báo cáo có lưu lượng xả từ 500 đến dưới 2.000 m³/ngày đêm: 4.000.000 đồng/báo cáo.  - Đề án, báo cáo có lưu lượng xả từ 2.000 đến dưới 5.000m³/ngày đêm: 7.000.000 đồng/báo cáo.)</w:t>
            </w:r>
          </w:p>
        </w:tc>
        <w:tc>
          <w:p/>
          <w:p>
            <w:pPr>
              <w:spacing w:after="0" w:before="0" w:lineRule="auto" w:line="276"/>
              <w:jc w:val="left"/>
            </w:pPr>
            <w:r>
              <w:rPr>
                <w:rFonts w:ascii="Times New Roman" w:hAnsi="Times New Roman" w:cs="Times New Roman" w:eastAsia="Times New Roman"/>
                <w:b w:val="false"/>
                <w:sz w:val="26"/>
              </w:rPr>
              <w:t>- Nộp hồ sơ: Tổ chức, cá nhân nộp hồ sơ về Sở Tài nguyên và Môi trường.
- Trả kết quả giải quyết thủ tục hành chính: Sở Tài nguyên và Môi trường trả lại hồ sơ cho tổ chức, cá nhân đề nghị gia hạn, điều chỉnh và thông báo lý do không gia hạn, điều chỉnh (đối với trường hợp hồ sơ không đủ điều kiện gia hạn, điều chỉnh); thông báo nghĩa vụ tài chính và trả giấy phép (đối với trường hợp đủ điều kiện gia hạn, điều chỉnh).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kiểm tra hồ sơ: Trong thời hạn năm (05) ngày làm việc, kể từ ngày nhận hồ sơ, Sở Tài nguyên và Môi trường có trách nhiệm xem xét, kiểm tra hồ sơ. - Thời hạn thẩm định báo cóa: Trong thời hạn hai mươi lăm (25) ngày làm việc, kể từ ngày nhận đủ hồ sơ hợp lệ, Sở Tài nguyên và Môi trường có trách nhiệm thẩm định báo cáo. Thời gian bổ sung, hoàn thiện hoặc lập lại báo cáo không tính vào thời gian thẩm định báo cáo. Thời gian thẩm định sau khi báo cáo được bổ sung hoàn chỉnh là hai mươi (20) ngày làm việc. - Thời hạn trả giấy phép: Trong thời hạn năm (05) ngày làm việc, kể từ ngày nhận được giấy phép của Ủy ban nhân dân tỉnh, Sở Tài nguyên và Môi trường thông báo cho tổ chức, cá nhân đề nghị cấp phép để thực hiện nghĩa vụ tài chính và nhận giấy phép. </w:t>
            </w:r>
          </w:p>
        </w:tc>
        <w:tc>
          <w:p/>
          <w:p>
            <w:pPr>
              <w:spacing w:after="0" w:before="0" w:lineRule="auto" w:line="276"/>
              <w:jc w:val="left"/>
            </w:pPr>
            <w:r>
              <w:rPr>
                <w:rFonts w:ascii="Times New Roman" w:hAnsi="Times New Roman" w:cs="Times New Roman" w:eastAsia="Times New Roman"/>
                <w:b w:val="false"/>
                <w:sz w:val="26"/>
              </w:rPr>
              <w:t>Phí :  Đồng</w:t>
              <w:t xml:space="preserve"> (Phí: Đồng (Phí thẩm định: Mức thu phí thẩm định gia hạn, điều chỉnh bằng 50% mức quy định dưới đây: - Đề án, báo cáo có lưu lượng dưới 100 m³/ngày đêm: 500.000 đồng/báo cáo. - Đề án, báo cáo có lưu lượng xả từ 100 đến dưới 500 m³/ngày đêm: 1.500.000 đồng/báo cáo. - Đề án, báo cáo có lưu lượng xả từ 500 đến dưới 2.000 m³/ngày đêm: 4.000.000 đồng/báo cáo. - Đề án, báo cáo có lưu lượng xả từ 2.000 đến dưới 5.000m³/ngày đêm: 7.000.000 đồng/báo cáo.))</w:t>
            </w:r>
          </w:p>
        </w:tc>
        <w:tc>
          <w:p/>
          <w:p>
            <w:pPr>
              <w:spacing w:after="0" w:before="0" w:lineRule="auto" w:line="276"/>
              <w:jc w:val="left"/>
            </w:pPr>
            <w:r>
              <w:rPr>
                <w:rFonts w:ascii="Times New Roman" w:hAnsi="Times New Roman" w:cs="Times New Roman" w:eastAsia="Times New Roman"/>
                <w:b w:val="false"/>
                <w:sz w:val="26"/>
              </w:rPr>
              <w:t>- Nộp hồ sơ: Tổ chức, cá nhân nộp hồ sơ về Sở Tài nguyên và Môi trường hoặc Địa chỉ trực tuyến: https://dichvucong.thanhhoa.gov.vn
- Trả kết quả giải quyết thủ tục hành chính: Sở Tài nguyên và Môi trường trả lại hồ sơ cho tổ chức, cá nhân đề nghị gia hạn, điều chỉnh và thông báo lý do không gia hạn, điều chỉnh (đối với trường hợp hồ sơ không đủ điều kiện gia hạn, điều chỉnh); thông báo nghĩa vụ tài chính và trả giấy phép (đối với trường hợp đủ điều kiện gia hạn, điều chỉnh).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hoặc điều chỉnh giấy phép</w:t>
            </w:r>
          </w:p>
        </w:tc>
        <w:tc>
          <w:p/>
          <w:p>
            <w:pPr>
              <w:spacing w:after="0" w:before="0" w:lineRule="auto" w:line="276"/>
              <w:jc w:val="left"/>
            </w:pPr>
            <w:r>
              <w:rPr>
                <w:rFonts w:ascii="Times New Roman" w:hAnsi="Times New Roman" w:cs="Times New Roman" w:eastAsia="Times New Roman"/>
                <w:b w:val="false"/>
                <w:sz w:val="26"/>
              </w:rPr>
              <w:t>Mẫu số 10.docx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chất lượng nước thải và chất lượng nguồn nước tiếp nhận tại vị trí xả thải vào nguồn nước. Thời điểm lấy mẫu phân tích chất lượng nước không quá ba (03)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hiện trạng xả nước thải và tình hình thực hiện các quy định trong giấy phép. Trường hợp điều chỉnh quy mô, phương thức, chế độ xả nước thải, quy trình vận hành thì phải có đề án xả nước thải</w:t>
            </w:r>
          </w:p>
        </w:tc>
        <w:tc>
          <w:p/>
          <w:p>
            <w:pPr>
              <w:spacing w:after="0" w:before="0" w:lineRule="auto" w:line="276"/>
              <w:jc w:val="left"/>
            </w:pPr>
            <w:r>
              <w:rPr>
                <w:rFonts w:ascii="Times New Roman" w:hAnsi="Times New Roman" w:cs="Times New Roman" w:eastAsia="Times New Roman"/>
                <w:b w:val="false"/>
                <w:sz w:val="26"/>
              </w:rPr>
              <w:t>Mẫu số 37.docx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xả nước thải vào nguồn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Sở Tài nguyên và Môi trường tại Trung tâm Phục vụ Hành chính công tỉnh, Số 28 Đại lộ Lê Lợi, phường Điện Biên, thành phố Thanh Hóa,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(gia hạn, điều chỉnh) xả nước thải vào nguồn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94/2016/TT-BTC</w:t>
            </w:r>
          </w:p>
        </w:tc>
        <w:tc>
          <w:p/>
          <w:p>
            <w:pPr>
              <w:spacing w:after="0" w:before="0" w:lineRule="auto" w:line="276"/>
              <w:jc w:val="left"/>
            </w:pPr>
            <w:r>
              <w:rPr>
                <w:rFonts w:ascii="Times New Roman" w:hAnsi="Times New Roman" w:cs="Times New Roman" w:eastAsia="Times New Roman"/>
                <w:b w:val="false"/>
                <w:sz w:val="26"/>
              </w:rPr>
              <w:t>Thông tư 94/2016/TT-BTC</w:t>
            </w:r>
          </w:p>
        </w:tc>
        <w:tc>
          <w:p/>
          <w:p>
            <w:pPr>
              <w:spacing w:after="0" w:before="0" w:lineRule="auto" w:line="276"/>
              <w:jc w:val="left"/>
            </w:pPr>
            <w:r>
              <w:rPr>
                <w:rFonts w:ascii="Times New Roman" w:hAnsi="Times New Roman" w:cs="Times New Roman" w:eastAsia="Times New Roman"/>
                <w:b w:val="false"/>
                <w:sz w:val="26"/>
              </w:rPr>
              <w:t>27-06-2016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đề án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
Riêng với trường hợp gia hạn, tổ chức, cá nhân còn phải đáp ứng các điều kiện sau:
- Giấy phép vẫn còn hiệu lực và hồ sơ đề nghị gia hạn giấy phép được nộp trước thời điểm giấy phép hết hiệu lực ít nhất chín mươi (90) ngày;
- Đến thời điểm đề nghị gia hạn, tổ chức, cá nhân được cấp giấy phép đã hoàn thành đầy đủ nghĩa vụ liên quan đến giấy phép đã được cáp theo quy định của pháp luật và không có tranh chấp.
- Tại thời điểm đề nghị gia hạn giấy phép, kế hoạch khai thác, sử dụng tài nguyên nước của tổ chức, cá nhân phù hợp với quy hoạch tài nguyên nước, khả năng đáp ứng của nguồn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2026-05-21T16:28:32Z</dcterms:created>
  <dc:creator>Apache POI</dc:creator>
</cp:coreProperties>
</file>