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1.001410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285/QĐ-BGTVT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đóng luồng, tuyến đường thuỷ nội địa chuyên dùng nối với đường thuỷ nội địa địa phương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Tổ chức, cá nhân có đường thủy nội địa chuyên dùng gửi đơn đề nghị đóng luồng, tuyến đường thủy nội địa theo quy định đến Sở Giao thông vận tải.</w:t>
      </w:r>
    </w:p>
    <w:p>
      <w:pPr>
        <w:spacing w:after="0" w:before="0" w:lineRule="auto" w:line="276"/>
        <w:jc w:val="both"/>
      </w:pPr>
      <w:r>
        <w:rPr>
          <w:rFonts w:ascii="Times New Roman" w:hAnsi="Times New Roman" w:cs="Times New Roman" w:eastAsia="Times New Roman"/>
          <w:b w:val="false"/>
          <w:sz w:val="26"/>
        </w:rPr>
        <w:t>b) Giải quyết TTHC:</w:t>
      </w:r>
    </w:p>
    <w:p>
      <w:pPr>
        <w:spacing w:after="0" w:before="0" w:lineRule="auto" w:line="276"/>
        <w:jc w:val="both"/>
      </w:pPr>
      <w:r>
        <w:rPr>
          <w:rFonts w:ascii="Times New Roman" w:hAnsi="Times New Roman" w:cs="Times New Roman" w:eastAsia="Times New Roman"/>
          <w:b w:val="false"/>
          <w:sz w:val="26"/>
        </w:rPr>
        <w:t>- Chậm nhất 02 (hai) ngày làm việc, kể từ ngày nhận được đơn đề nghị của tổ chức, cá nhân, Sở Giao thông vận tải báo cáo Ủy ban nhân dân cấp tỉnh xem xét công bố đóng luồng, tuyến đường thủy nội địa;</w:t>
      </w:r>
    </w:p>
    <w:p>
      <w:pPr>
        <w:spacing w:after="0" w:before="0" w:lineRule="auto" w:line="276"/>
        <w:jc w:val="both"/>
      </w:pPr>
      <w:r>
        <w:rPr>
          <w:rFonts w:ascii="Times New Roman" w:hAnsi="Times New Roman" w:cs="Times New Roman" w:eastAsia="Times New Roman"/>
          <w:b w:val="false"/>
          <w:sz w:val="26"/>
        </w:rPr>
        <w:t>- Chậm nhất 02 (hai) ngày làm việc, kể từ ngày nhận được báo cáo của Sở Giao thông vận tải, Ủy ban nhân dân cấp tỉnh ra quyết định công bố đóng luồng, tuyến đường thủy nội địa.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Chậm nhất 04 (bốn) ngày làm việc, kể từ ngày nhận được đơn đề nghị của tổ chức, cá nhân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Chậm nhất 04 (bốn) ngày làm việc, kể từ ngày nhận được đơn đề nghị của tổ chức, cá nhân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đóng luồng, tuyến đường thủy nội địa theo mẫu quy định</w:t>
            </w:r>
          </w:p>
        </w:tc>
        <w:tc>
          <w:p/>
          <w:p>
            <w:pPr>
              <w:spacing w:after="0" w:before="0" w:lineRule="auto" w:line="276"/>
              <w:jc w:val="left"/>
            </w:pPr>
            <w:r>
              <w:rPr>
                <w:rFonts w:ascii="Times New Roman" w:hAnsi="Times New Roman" w:cs="Times New Roman" w:eastAsia="Times New Roman"/>
                <w:b w:val="false"/>
                <w:sz w:val="26"/>
              </w:rPr>
              <w:t>Mẫu5.doc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Giao thông vận tải,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Giao thông vận tải, Ủy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15/2016/TT-BGTVT</w:t>
            </w:r>
          </w:p>
        </w:tc>
        <w:tc>
          <w:p/>
          <w:p>
            <w:pPr>
              <w:spacing w:after="0" w:before="0" w:lineRule="auto" w:line="276"/>
              <w:jc w:val="left"/>
            </w:pPr>
            <w:r>
              <w:rPr>
                <w:rFonts w:ascii="Times New Roman" w:hAnsi="Times New Roman" w:cs="Times New Roman" w:eastAsia="Times New Roman"/>
                <w:b w:val="false"/>
                <w:sz w:val="26"/>
              </w:rPr>
              <w:t>Quy định về quản lý đường thủy nội địa</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2026-04-29T10:06:42Z</dcterms:created>
  <dc:creator>Apache POI</dc:creator>
</cp:coreProperties>
</file>