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7751/QĐ-NHCS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cho vay Dự án bảo vệ và phát triển những vùng đất ngập nước ven biển miền Nam Việt Nam (CWPD) tại các tỉnh Trà Vinh, Bạc Liêu, Sóc Trăng và Cà Mau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Người vay tự nguyện gia nhập Tổ Tiết kiệm và vay vốn (TK&amp;VV) tại nơi sinh sống.
+ Người vay viết Giấy đề nghị vay vốn kiêm phương án sử dụng vốn vay (mẫu số 01/TD) gửi Tổ trưởng Tổ TK&amp;VV.</w:t>
      </w:r>
    </w:p>
    <w:p>
      <w:pPr>
        <w:spacing w:after="0" w:before="0" w:lineRule="auto" w:line="276"/>
        <w:jc w:val="both"/>
      </w:pPr>
      <w:r>
        <w:rPr>
          <w:rFonts w:ascii="Times New Roman" w:hAnsi="Times New Roman" w:cs="Times New Roman" w:eastAsia="Times New Roman"/>
          <w:b w:val="false"/>
          <w:sz w:val="26"/>
        </w:rPr>
        <w:t>- Bước 2:
+ Tổ TK&amp;VV nhận giấy đề nghị vay vốn của tổ viên, tiến hành tổ chức họp Tổ để bình xét những hộ nghèo đủ điều kiện vay vốn, lập Danh sách hộ gia đình đề nghị vay vốn (mẫu số 03/TD) kèm Giấy đề nghị vay vốn kiêm phương án sử dụng vốn vay (mẫu số 01/TD) của các tổ viên trình UBND cấp xã.
+ Tại cấp xã, Ban xóa đói giảm nghèo xác nhận các hộ xin vay đúng là những hộ thuộc diện nghèo theo quy định và hiện đang cư trú hợp pháp tại xã. UBND cấp xã xác nhận và phê duyệt Danh sách hộ gia đình đề nghị vay vốn NHCSXH (mẫu 03/TD).
+ Sau khi có xác nhận của UBND cấp xã, Tổ có trách nhiệm gửi bộ hồ sơ xin vay tới NHCSXH nơi thực hiện thủ tục để làm thủ tục phê duyệt cho vay.</w:t>
      </w:r>
    </w:p>
    <w:p>
      <w:pPr>
        <w:spacing w:after="0" w:before="0" w:lineRule="auto" w:line="276"/>
        <w:jc w:val="both"/>
      </w:pPr>
      <w:r>
        <w:rPr>
          <w:rFonts w:ascii="Times New Roman" w:hAnsi="Times New Roman" w:cs="Times New Roman" w:eastAsia="Times New Roman"/>
          <w:b w:val="false"/>
          <w:sz w:val="26"/>
        </w:rPr>
        <w:t>- Bước 3:
+ NHCSXH nơi thực hiện thủ tục nhận bộ hồ sơ vay vốn tiến hành kiểm tra, đối chiếu tính hợp pháp, hợp lệ của hồ sơ và phê duyệt cho vay. Sau khi phê duyệt, NHCSXH nơi thực hiện thủ tục gửi Thông báo kết quả phê duyệt cho vay (mẫu số 04/TD) tới UBND cấp xã.</w:t>
      </w:r>
    </w:p>
    <w:p>
      <w:pPr>
        <w:spacing w:after="0" w:before="0" w:lineRule="auto" w:line="276"/>
        <w:jc w:val="both"/>
      </w:pPr>
      <w:r>
        <w:rPr>
          <w:rFonts w:ascii="Times New Roman" w:hAnsi="Times New Roman" w:cs="Times New Roman" w:eastAsia="Times New Roman"/>
          <w:b w:val="false"/>
          <w:sz w:val="26"/>
        </w:rPr>
        <w:t>- Bước 4:
+ UBND cấp xã thông báo đến tổ Hội nhận uỷ thác cấp xã để thông báo tới Tổ TK&amp;VV và Tổ TK&amp;VV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hồ sơ trực tiếp tại  Tổ TK&amp;VV nơi người vay sinh sống.
Trong thời gian 03 (ba) ngày làm việc kể từ ngày NHCSXH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(mẫu số 01/UQ)</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người vay: Giấy đề nghị vay vốn kiêm phương án sử dụng vốn vay (mẫu số 01/TD)</w:t>
            </w:r>
          </w:p>
        </w:tc>
        <w:tc>
          <w:p/>
          <w:p>
            <w:pPr>
              <w:spacing w:after="0" w:before="0" w:lineRule="auto" w:line="276"/>
              <w:jc w:val="left"/>
            </w:pPr>
            <w:r>
              <w:rPr>
                <w:rFonts w:ascii="Times New Roman" w:hAnsi="Times New Roman" w:cs="Times New Roman" w:eastAsia="Times New Roman"/>
                <w:b w:val="false"/>
                <w:sz w:val="26"/>
              </w:rPr>
              <w:t>01-TD(SĐ)-VB-5589-29.12.2017.doc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Tổ TK&amp;VV: Danh sách hộ gia đình đề nghị vay vốn (mẫu số 03/TD)</w:t>
            </w:r>
          </w:p>
        </w:tc>
        <w:tc>
          <w:p/>
          <w:p>
            <w:pPr>
              <w:spacing w:after="0" w:before="0" w:lineRule="auto" w:line="276"/>
              <w:jc w:val="left"/>
            </w:pPr>
            <w:r>
              <w:rPr>
                <w:rFonts w:ascii="Times New Roman" w:hAnsi="Times New Roman" w:cs="Times New Roman" w:eastAsia="Times New Roman"/>
                <w:b w:val="false"/>
                <w:sz w:val="26"/>
              </w:rPr>
              <w:t>03-TD (CV 720-NHCS-HSSV ngày 29-3-2011).doc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243/NHCS-TD</w:t>
            </w:r>
          </w:p>
        </w:tc>
        <w:tc>
          <w:p/>
          <w:p>
            <w:pPr>
              <w:spacing w:after="0" w:before="0" w:lineRule="auto" w:line="276"/>
              <w:jc w:val="left"/>
            </w:pPr>
            <w:r>
              <w:rPr>
                <w:rFonts w:ascii="Times New Roman" w:hAnsi="Times New Roman" w:cs="Times New Roman" w:eastAsia="Times New Roman"/>
                <w:b w:val="false"/>
                <w:sz w:val="26"/>
              </w:rPr>
              <w:t>Văn bản số 243/NHCS-TD</w:t>
            </w:r>
          </w:p>
        </w:tc>
        <w:tc>
          <w:p/>
          <w:p>
            <w:pPr>
              <w:spacing w:after="0" w:before="0" w:lineRule="auto" w:line="276"/>
              <w:jc w:val="left"/>
            </w:pPr>
            <w:r>
              <w:rPr>
                <w:rFonts w:ascii="Times New Roman" w:hAnsi="Times New Roman" w:cs="Times New Roman" w:eastAsia="Times New Roman"/>
                <w:b w:val="false"/>
                <w:sz w:val="26"/>
              </w:rPr>
              <w:t>18-02-2009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316/NHCS-KH</w:t>
            </w:r>
          </w:p>
        </w:tc>
        <w:tc>
          <w:p/>
          <w:p>
            <w:pPr>
              <w:spacing w:after="0" w:before="0" w:lineRule="auto" w:line="276"/>
              <w:jc w:val="left"/>
            </w:pPr>
            <w:r>
              <w:rPr>
                <w:rFonts w:ascii="Times New Roman" w:hAnsi="Times New Roman" w:cs="Times New Roman" w:eastAsia="Times New Roman"/>
                <w:b w:val="false"/>
                <w:sz w:val="26"/>
              </w:rPr>
              <w:t>Văn bản số 316/NHCS-KH</w:t>
            </w:r>
          </w:p>
        </w:tc>
        <w:tc>
          <w:p/>
          <w:p>
            <w:pPr>
              <w:spacing w:after="0" w:before="0" w:lineRule="auto" w:line="276"/>
              <w:jc w:val="left"/>
            </w:pPr>
            <w:r>
              <w:rPr>
                <w:rFonts w:ascii="Times New Roman" w:hAnsi="Times New Roman" w:cs="Times New Roman" w:eastAsia="Times New Roman"/>
                <w:b w:val="false"/>
                <w:sz w:val="26"/>
              </w:rPr>
              <w:t>02-05-2003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676/NHCS-TD</w:t>
            </w:r>
          </w:p>
        </w:tc>
        <w:tc>
          <w:p/>
          <w:p>
            <w:pPr>
              <w:spacing w:after="0" w:before="0" w:lineRule="auto" w:line="276"/>
              <w:jc w:val="left"/>
            </w:pPr>
            <w:r>
              <w:rPr>
                <w:rFonts w:ascii="Times New Roman" w:hAnsi="Times New Roman" w:cs="Times New Roman" w:eastAsia="Times New Roman"/>
                <w:b w:val="false"/>
                <w:sz w:val="26"/>
              </w:rPr>
              <w:t>Văn bản số 676/NHCS-TD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2498/NHCS-HTQT</w:t>
            </w:r>
          </w:p>
        </w:tc>
        <w:tc>
          <w:p/>
          <w:p>
            <w:pPr>
              <w:spacing w:after="0" w:before="0" w:lineRule="auto" w:line="276"/>
              <w:jc w:val="left"/>
            </w:pPr>
            <w:r>
              <w:rPr>
                <w:rFonts w:ascii="Times New Roman" w:hAnsi="Times New Roman" w:cs="Times New Roman" w:eastAsia="Times New Roman"/>
                <w:b w:val="false"/>
                <w:sz w:val="26"/>
              </w:rPr>
              <w:t>V/v hướng dẫn thực hiện Quỹ quay vòng Dự án Bảo vệ và phát triển những vùng đất ngập nước ven biển miền Nam Việt Nam (CWPD)</w:t>
            </w:r>
          </w:p>
        </w:tc>
        <w:tc>
          <w:p/>
          <w:p>
            <w:pPr>
              <w:spacing w:after="0" w:before="0" w:lineRule="auto" w:line="276"/>
              <w:jc w:val="left"/>
            </w:pPr>
            <w:r>
              <w:rPr>
                <w:rFonts w:ascii="Times New Roman" w:hAnsi="Times New Roman" w:cs="Times New Roman" w:eastAsia="Times New Roman"/>
                <w:b w:val="false"/>
                <w:sz w:val="26"/>
              </w:rPr>
              <w:t>02-12-2004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Phải là thành viên của Tổ TK&amp;VV.
- Có tên trong danh sách hộ nghèo được UBND cấp xã quyết định theo chuẩn nghèo do Bộ LĐTB&amp;XH công bố.
- Hộ vay vốn được tập huấn về các biện pháp bảo vệ rừng ngập mặn và hộ vay vốn cam kết bảo vệ rừng ngập mặn.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2026-05-09T14:34:06Z</dcterms:created>
  <dc:creator>Apache POI</dc:creator>
</cp:coreProperties>
</file>