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2.002217.000.00.00.H26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2389/QĐ-UBND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giá của các doanh nghiệp thuộc phạm vi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giá</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tổ chức, cá nhân sản xuất kinh doanh hàng hóa, dịch vụ thuộc danh mục bắt buộc phải đăng ký giá trên địa bàn Thành phố.</w:t>
      </w:r>
    </w:p>
    <w:p>
      <w:pPr>
        <w:spacing w:after="0" w:before="0" w:lineRule="auto" w:line="276"/>
        <w:jc w:val="both"/>
      </w:pPr>
      <w:r>
        <w:rPr>
          <w:rFonts w:ascii="Times New Roman" w:hAnsi="Times New Roman" w:cs="Times New Roman" w:eastAsia="Times New Roman"/>
          <w:b w:val="false"/>
          <w:sz w:val="26"/>
        </w:rPr>
        <w:t>Thực hiện đăng ký giá theo mẫu biểu trên hệ thống dịch vụ công trực tuyến mức độ 3, 4 tại trang thông tin điện tử sotaichinh.hanoi.gov.vn của Sở Tài chính trước 05 ngày làm việc so với ngày áp dụng mức giá đăng ký. Trường hợp nộp trực tiếp tại Bộ phận một cửa Sở Tài chính: Nộp 02 bộ hồ sơ</w:t>
      </w:r>
    </w:p>
    <w:p>
      <w:pPr>
        <w:spacing w:after="0" w:before="0" w:lineRule="auto" w:line="276"/>
        <w:jc w:val="both"/>
      </w:pPr>
      <w:r>
        <w:rPr>
          <w:rFonts w:ascii="Times New Roman" w:hAnsi="Times New Roman" w:cs="Times New Roman" w:eastAsia="Times New Roman"/>
          <w:b w:val="false"/>
          <w:sz w:val="26"/>
        </w:rPr>
        <w:t>Trường hợp thành phần, số lượng hồ sơ đúng, đủ theo mẫu quy định thì nhận kết quả ngay; Nếu Biểu mẫu không đúng, đủ thành phần, số lượng theo quy định sẽ được trả lại ngay để hoàn thiện theo quy định</w:t>
      </w:r>
    </w:p>
    <w:p>
      <w:pPr>
        <w:spacing w:after="0" w:before="0" w:lineRule="auto" w:line="276"/>
        <w:jc w:val="both"/>
      </w:pPr>
      <w:r>
        <w:rPr>
          <w:rFonts w:ascii="Times New Roman" w:hAnsi="Times New Roman" w:cs="Times New Roman" w:eastAsia="Times New Roman"/>
          <w:b w:val="false"/>
          <w:sz w:val="26"/>
        </w:rPr>
        <w:t>Nếu nội dung hồ sơ chưa đảm bảo hoặc không phù hợp, đơn vị nhận Thông báo bằng văn bản để thực hiện yêu cầu hoặc thực hiện lại nghĩa vụ Đăng ký giá trong vòng 10 ngày kể từ ngày phát hành Thông báo.</w:t>
      </w:r>
    </w:p>
    <w:p>
      <w:pPr>
        <w:shd w:val="clear" w:color="auto" w:fill="F2F6F9"/>
        <w:spacing w:after="0" w:before="120" w:lineRule="auto" w:line="276"/>
        <w:jc w:val="both"/>
      </w:pPr>
      <w:r>
        <w:rPr>
          <w:rFonts w:ascii="Times New Roman" w:hAnsi="Times New Roman" w:cs="Times New Roman" w:eastAsia="Times New Roman"/>
          <w:b w:val="true"/>
          <w:sz w:val="26"/>
        </w:rPr>
        <w:t>Đối với Sở Tài chính:</w:t>
      </w:r>
    </w:p>
    <w:p>
      <w:pPr>
        <w:spacing w:after="0" w:before="0" w:lineRule="auto" w:line="276"/>
        <w:jc w:val="both"/>
      </w:pPr>
      <w:r>
        <w:rPr>
          <w:rFonts w:ascii="Times New Roman" w:hAnsi="Times New Roman" w:cs="Times New Roman" w:eastAsia="Times New Roman"/>
          <w:b w:val="false"/>
          <w:sz w:val="26"/>
        </w:rPr>
        <w:t>Tiếp nhận hồ sơ đăng ký giá, kiểm tra thành phần, số lượng hồ sơ theo mẫu quy định và in, đóng dấu công văn đến, scan đính chữ ký số trả kết quả ngay nếu đúng, đủ thành phần Biểu mẫu</w:t>
      </w:r>
    </w:p>
    <w:p>
      <w:pPr>
        <w:spacing w:after="0" w:before="0" w:lineRule="auto" w:line="276"/>
        <w:jc w:val="both"/>
      </w:pPr>
      <w:r>
        <w:rPr>
          <w:rFonts w:ascii="Times New Roman" w:hAnsi="Times New Roman" w:cs="Times New Roman" w:eastAsia="Times New Roman"/>
          <w:b w:val="false"/>
          <w:sz w:val="26"/>
        </w:rPr>
        <w:t>Trường hợp Biểu mẫu không đúng, đủ thành phần, số lượng theo quy định, cán bộ tiếp nhận biểu mẫu ghi rõ lý do trả lại, các nội dung cần bổ sung và trả lại ngay biểu mẫu cho tổ chức cá nhân (không quá 2 ngày)</w:t>
      </w:r>
    </w:p>
    <w:p>
      <w:pPr>
        <w:spacing w:after="0" w:before="0" w:lineRule="auto" w:line="276"/>
        <w:jc w:val="both"/>
      </w:pPr>
      <w:r>
        <w:rPr>
          <w:rFonts w:ascii="Times New Roman" w:hAnsi="Times New Roman" w:cs="Times New Roman" w:eastAsia="Times New Roman"/>
          <w:b w:val="false"/>
          <w:sz w:val="26"/>
        </w:rPr>
        <w:t>Chuyển phòng chuyên môn thẩm tra; nếu nội dung hồ sơ chưa đảm bảo hoặc không phù hợp thì tối đa không quá 4 ngày, phòng nghiệp vụ báo cáo Lãnh đạo ra Thông báo bằng văn bản yêu cầu tổ chức, cá nhân không được áp dụng mức giá đăng ký hoặc giải trình nội dung theo yêu cầu kèm theo thời hạn gửi bản giải trình cho cơ quan tiếp nhận biểu mẫu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 Sở Tài chính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Biểu mẫu đăng ký giá theo hướng dẫn tại Phụ lục số 01 ban hành kèm theo Thông tư số 56/2014/TT-BTC (trong đó các nội dung về Công văn gửi Biểu mẫu đăng ký giá; Bảng đăng ký giá cụ thể và Thuyết minh cơ cấu tính giá hàng hóa, dịch vụ đăng ký giá).</w:t>
            </w:r>
          </w:p>
        </w:tc>
        <w:tc>
          <w:p/>
          <w:p>
            <w:pPr>
              <w:spacing w:after="0" w:before="0" w:lineRule="auto" w:line="276"/>
              <w:jc w:val="left"/>
            </w:pPr>
            <w:r>
              <w:rPr>
                <w:rFonts w:ascii="Times New Roman" w:hAnsi="Times New Roman" w:cs="Times New Roman" w:eastAsia="Times New Roman"/>
                <w:b w:val="false"/>
                <w:sz w:val="26"/>
              </w:rPr>
              <w:t>Dang ky gia.docx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phong bì có dán tem, ghi rõ: tên, địa chỉ của tổ chức, cá nhân, họ tên và số điện thoại của người trực tiếp có trách nhiệm của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 Sở Tài chính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Lưu hồ sơ hoặc văn bản trả lời trong trường hợp Biểu mẫu đăng ký giá có nội dung chưa rõ hoặc cần phải giải trình về các yếu tố hình thành giá tăng hoặc giảm.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177/2013/NĐ-CP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Giá</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149/2016/NĐ-CP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177/2013/NĐ-CP ngày 14 tháng 11 năm 2013 của Chính phủ quy định chi tiết và hướng dẫn thi hành một số điều của Luật giá</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11/2012/NĐ-CP</w:t>
            </w:r>
          </w:p>
        </w:tc>
        <w:tc>
          <w:p/>
          <w:p>
            <w:pPr>
              <w:spacing w:after="0" w:before="0" w:lineRule="auto" w:line="276"/>
              <w:jc w:val="left"/>
            </w:pPr>
            <w:r>
              <w:rPr>
                <w:rFonts w:ascii="Times New Roman" w:hAnsi="Times New Roman" w:cs="Times New Roman" w:eastAsia="Times New Roman"/>
                <w:b w:val="false"/>
                <w:sz w:val="26"/>
              </w:rPr>
              <w:t>Nghị định 11/2012/NĐ-CP</w:t>
            </w:r>
          </w:p>
        </w:tc>
        <w:tc>
          <w:p/>
          <w:p>
            <w:pPr>
              <w:spacing w:after="0" w:before="0" w:lineRule="auto" w:line="276"/>
              <w:jc w:val="left"/>
            </w:pPr>
            <w:r>
              <w:rPr>
                <w:rFonts w:ascii="Times New Roman" w:hAnsi="Times New Roman" w:cs="Times New Roman" w:eastAsia="Times New Roman"/>
                <w:b w:val="false"/>
                <w:sz w:val="26"/>
              </w:rPr>
              <w:t>22-02-2012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56/2014/TT-BTC</w:t>
            </w:r>
          </w:p>
        </w:tc>
        <w:tc>
          <w:p/>
          <w:p>
            <w:pPr>
              <w:spacing w:after="0" w:before="0" w:lineRule="auto" w:line="276"/>
              <w:jc w:val="left"/>
            </w:pPr>
            <w:r>
              <w:rPr>
                <w:rFonts w:ascii="Times New Roman" w:hAnsi="Times New Roman" w:cs="Times New Roman" w:eastAsia="Times New Roman"/>
                <w:b w:val="false"/>
                <w:sz w:val="26"/>
              </w:rPr>
              <w:t>Thông tư 56/2014/TT-BTC</w:t>
            </w:r>
          </w:p>
        </w:tc>
        <w:tc>
          <w:p/>
          <w:p>
            <w:pPr>
              <w:spacing w:after="0" w:before="0" w:lineRule="auto" w:line="276"/>
              <w:jc w:val="left"/>
            </w:pPr>
            <w:r>
              <w:rPr>
                <w:rFonts w:ascii="Times New Roman" w:hAnsi="Times New Roman" w:cs="Times New Roman" w:eastAsia="Times New Roman"/>
                <w:b w:val="false"/>
                <w:sz w:val="26"/>
              </w:rPr>
              <w:t>28-04-2014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233/2016/TT-BTC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56/2014/TT-BTC ngày 28/4/2014 của Bộ Tài chính hướng dẫn thực hiện Nghị định số 177/2013/NĐ-CP ngày 14/11/2013 của Chính phủ quy định chi tiết và hướng dẫn thi hành một số điều của Luật Giá</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Cục Quản lý giá - 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Khi hoàng hóa, dịch vụ thuộc Danh mục quy định tại khoản 02 Điều 15 của Luật Giá có biến động bất thường;
- Khi mặt bằng giá biến động ảnh hưởng đến ổn định kinh tế -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2026-05-21T14:22:08Z</dcterms:created>
  <dc:creator>Apache POI</dc:creator>
</cp:coreProperties>
</file>