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lần đầu, định kỳ luồng đường thủy nội địa chuyên dùng nối với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đường thủy nội địa chuyên dùng gửi 01 (một) bộ hồ sơ đề nghị công bố thông báo lần đầu, định kỳ luồng đường thủy nội địa chuyên dùng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chậm nhất 02 (hai) ngày làm việc, phải có văn bản trả lời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được hồ sơ đầy đủ theo quy định, Sở Giao thông vận tải thực hiện việc công bố thông báo luồng đường thủy nội địa. Trường hợp không chấp thuận,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hồ sơ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hồ sơ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thông báo luồng đường thủy theo mẫu quy định</w:t>
            </w:r>
          </w:p>
        </w:tc>
        <w:tc>
          <w:p/>
          <w:p>
            <w:pPr>
              <w:spacing w:after="0" w:before="0" w:lineRule="auto" w:line="276"/>
              <w:jc w:val="left"/>
            </w:pPr>
            <w:r>
              <w:rPr>
                <w:rFonts w:ascii="Times New Roman" w:hAnsi="Times New Roman" w:cs="Times New Roman" w:eastAsia="Times New Roman"/>
                <w:b w:val="false"/>
                <w:sz w:val="26"/>
              </w:rPr>
              <w:t>mau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nghiệm thu kết quả khảo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mở tuyến đường thủy nội địa của cơ quan có thẩm quyền (đối với công bố luồng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khảo sát, báo cáo kết quả khảo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19/2016/TT-BGTVT</w:t>
            </w:r>
          </w:p>
        </w:tc>
        <w:tc>
          <w:p/>
          <w:p>
            <w:pPr>
              <w:spacing w:after="0" w:before="0" w:lineRule="auto" w:line="276"/>
              <w:jc w:val="left"/>
            </w:pPr>
            <w:r>
              <w:rPr>
                <w:rFonts w:ascii="Times New Roman" w:hAnsi="Times New Roman" w:cs="Times New Roman" w:eastAsia="Times New Roman"/>
                <w:b w:val="false"/>
                <w:sz w:val="26"/>
              </w:rPr>
              <w:t>Quy định về khảo sát luồng phục vụ quản lý và thông báo luồng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2026-04-29T10:06:47Z</dcterms:created>
  <dc:creator>Apache POI</dc:creator>
</cp:coreProperties>
</file>