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1.002745.000.00.00.H32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tình hình thân nhân trong hồ sơ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bổ sung tình hình thân nhân lập bản khai (Mẫu 5) gửi Ủy ban nhân dân cấp xã</w:t>
      </w:r>
    </w:p>
    <w:p>
      <w:pPr>
        <w:spacing w:after="0" w:before="0" w:lineRule="auto" w:line="276"/>
        <w:jc w:val="both"/>
      </w:pPr>
      <w:r>
        <w:rPr>
          <w:rFonts w:ascii="Times New Roman" w:hAnsi="Times New Roman" w:cs="Times New Roman" w:eastAsia="Times New Roman"/>
          <w:b w:val="false"/>
          <w:sz w:val="26"/>
        </w:rPr>
        <w:t xml:space="preserve"> Bước 2: Ủy ban nhân dân cấp xã trong thời gian 05 ngày kể từ ngày nhận đủ giấy tờ hợp lệ, có trách nhiệm kiểm tra, xác nhận bản khai và lập danh sách kèm các giấy tờ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10 ngày kể từ ngày nhận đủ giấy tờ, có trách nhiệm kiểm tra, lập danh sách kèm giấy tờ quy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có trách nhiệm kiểm tra và bổ sung thông tin trong hồ sơ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đề nghị bổ sung tình hình thân nhân là cha đẻ, mẹ đẻ, vợ hoặc chồng liệt sĩ</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của gia đình hoặc họ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đề nghị bổ sung tình hình thân nhân là con liệt sĩ</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nhận việc nuôi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Sở Lao động-Thương binh và Xã hội, Ủy ban Nhân dân xã, phường, thị trấn., Chủ tịch ủy ban nhân dân cấp tỉnh, Các cơ quan, tổ chức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liệt sĩ được bổ sung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16/2014/TT-BLĐTBXH</w:t>
            </w:r>
          </w:p>
        </w:tc>
        <w:tc>
          <w:p/>
          <w:p>
            <w:pPr>
              <w:spacing w:after="0" w:before="0" w:lineRule="auto" w:line="276"/>
              <w:jc w:val="left"/>
            </w:pPr>
            <w:r>
              <w:rPr>
                <w:rFonts w:ascii="Times New Roman" w:hAnsi="Times New Roman" w:cs="Times New Roman" w:eastAsia="Times New Roman"/>
                <w:b w:val="false"/>
                <w:sz w:val="26"/>
              </w:rPr>
              <w:t>Thông tư 16/2014/TT-BLĐTBXH - Hướng dẫn một số nội dung xác nhận và thực hiệnchế độ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30-07-2014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2026-05-22T04:04:43Z</dcterms:created>
  <dc:creator>Apache POI</dc:creator>
</cp:coreProperties>
</file>