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thường xuyên, đột xuất luồng đường thủy nội địa chuyên dùng nối với đường thủy nội địa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có đường thủy nội địa chuyên dùng gửi 01 (một) bộ hồ sơ đề nghị công bố thông báo thường xuyên, đột xuất luồng đường thủy nội địa chuyên dùng theo quy định đến Sở Giao thông vận tải.</w:t>
      </w:r>
    </w:p>
    <w:p>
      <w:pPr>
        <w:spacing w:after="0" w:before="0" w:lineRule="auto" w:line="276"/>
        <w:jc w:val="both"/>
      </w:pPr>
      <w:r>
        <w:rPr>
          <w:rFonts w:ascii="Times New Roman" w:hAnsi="Times New Roman" w:cs="Times New Roman" w:eastAsia="Times New Roman"/>
          <w:b w:val="false"/>
          <w:sz w:val="26"/>
        </w:rPr>
        <w:t>b) Giải quyết TTHC:</w:t>
      </w:r>
    </w:p>
    <w:p>
      <w:pPr>
        <w:spacing w:after="0" w:before="0" w:lineRule="auto" w:line="276"/>
        <w:jc w:val="both"/>
      </w:pPr>
      <w:r>
        <w:rPr>
          <w:rFonts w:ascii="Times New Roman" w:hAnsi="Times New Roman" w:cs="Times New Roman" w:eastAsia="Times New Roman"/>
          <w:b w:val="false"/>
          <w:sz w:val="26"/>
        </w:rPr>
        <w:t>- Sở Giao thông vận tải tiếp nhận hồ sơ. Trường hợp hồ sơ chưa rõ ràng, đầy đủ theo quy định, chậm nhất 02 (hai) ngày làm việc, phải có văn bản trả lời hướng dẫn tổ chức, cá nhân hoàn thiện hồ sơ.</w:t>
      </w:r>
    </w:p>
    <w:p>
      <w:pPr>
        <w:spacing w:after="0" w:before="0" w:lineRule="auto" w:line="276"/>
        <w:jc w:val="both"/>
      </w:pPr>
      <w:r>
        <w:rPr>
          <w:rFonts w:ascii="Times New Roman" w:hAnsi="Times New Roman" w:cs="Times New Roman" w:eastAsia="Times New Roman"/>
          <w:b w:val="false"/>
          <w:sz w:val="26"/>
        </w:rPr>
        <w:t>- Chậm nhất 02 (hai) ngày làm việc, kể từ ngày nhận được hồ sơ đầy đủ theo quy định, Sở Giao thông vận tải thực hiện việc công bố thông báo luồng đường thủy nội địa. Trường hợp không chấp thuận,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là 02 (hai) ngày làm việc, kể từ ngày nhận đủ hồ sơ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là 02 (hai) ngày làm việc, kể từ ngày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bố thông báo luồng đường thủy theo mẫu quy định</w:t>
            </w:r>
          </w:p>
        </w:tc>
        <w:tc>
          <w:p/>
          <w:p>
            <w:pPr>
              <w:spacing w:after="0" w:before="0" w:lineRule="auto" w:line="276"/>
              <w:jc w:val="left"/>
            </w:pPr>
            <w:r>
              <w:rPr>
                <w:rFonts w:ascii="Times New Roman" w:hAnsi="Times New Roman" w:cs="Times New Roman" w:eastAsia="Times New Roman"/>
                <w:b w:val="false"/>
                <w:sz w:val="26"/>
              </w:rPr>
              <w:t>mau 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khảo sát luồng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19/2016/TT-BGTVT</w:t>
            </w:r>
          </w:p>
        </w:tc>
        <w:tc>
          <w:p/>
          <w:p>
            <w:pPr>
              <w:spacing w:after="0" w:before="0" w:lineRule="auto" w:line="276"/>
              <w:jc w:val="left"/>
            </w:pPr>
            <w:r>
              <w:rPr>
                <w:rFonts w:ascii="Times New Roman" w:hAnsi="Times New Roman" w:cs="Times New Roman" w:eastAsia="Times New Roman"/>
                <w:b w:val="false"/>
                <w:sz w:val="26"/>
              </w:rPr>
              <w:t>Quy định về khảo sát luồng phục vụ quản lý và thông báo luồng đường thủy nội địa</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2026-04-29T10:01:17Z</dcterms:created>
  <dc:creator>Apache POI</dc:creator>
</cp:coreProperties>
</file>