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2.000986.000.00.00.H29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3211/QĐ-UBND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Liên thông thủ tục hành chính về đăng ký khai sinh, đăng ký thường trú, cấp thẻ bảo hiểm y tế cho trẻ em dưới 6 tuổi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có yêu cầu thực hiện thủ tục liên thông đăng ký khai sinh, đăng ký thường trú, cấp thẻ bảo hiểm y tế cho trẻ em dưới 6 tuổi nộp hồ sơ trực tiếp tại Bộ phận tiếp nhận và trả kết quả của Ủy ban nhân dân phường, xã, thị trấn từ thứ hai đến thứ sáu (buổi sáng từ 07 giờ 30 phút đến 11 giờ 30 phút, buổi chiều từ 13 giờ 00 phút đến 17 giờ 00 phút) và sáng thứ bảy (từ 07 giờ 30 phút đến 11 giờ 30 phút).</w:t>
      </w:r>
    </w:p>
    <w:p>
      <w:pPr>
        <w:spacing w:after="0" w:before="0" w:lineRule="auto" w:line="276"/>
        <w:jc w:val="both"/>
      </w:pPr>
      <w:r>
        <w:rPr>
          <w:rFonts w:ascii="Times New Roman" w:hAnsi="Times New Roman" w:cs="Times New Roman" w:eastAsia="Times New Roman"/>
          <w:b w:val="false"/>
          <w:sz w:val="26"/>
        </w:rPr>
        <w:t>Bước 2: Bộ phận tiếp nhận và trả kết quả tiếp nhận hồ sơ, kiểm tra tính hợp lệ và đầy đủ của các giấy tờ có trong hồ sơ:
+ Trường hợp hồ sơ đầy đủ, hợp lệ, công chức tiếp nhận hồ sơ, viết giấy biên nhận;
+ Trường hợp hồ sơ chưa đầy đủ, chưa hợp lệ thì hướng dẫn người nộp hồ sơ bổ sung, hoàn thiện hồ sơ theo quy định. Trường hợp không thể bổ sung, hoàn thiện hồ sơ ngay thì phải lập văn bản hướng dẫn, trong đó nêu rõ những loại giấy tờ, nội dung cần bổ sung, hoàn thiện, ký và ghi rõ họ, tên người tiếp nhận hồ sơ;
+ Trong trường hợp hồ sơ không được bổ sung, hoàn thiện theo hướng dẫn thì người tiếp nhận hồ sơ từ chối tiếp nhận hồ sơ. Việc từ chối tiếp nhận hồ sơ phải được thể hiện bằng văn bản, trong đó ghi rõ lý do từ chối, người tiếp nhận ký và ghi rõ họ tên.
</w:t>
      </w:r>
    </w:p>
    <w:p>
      <w:pPr>
        <w:spacing w:after="0" w:before="0" w:lineRule="auto" w:line="276"/>
        <w:jc w:val="both"/>
      </w:pPr>
      <w:r>
        <w:rPr>
          <w:rFonts w:ascii="Times New Roman" w:hAnsi="Times New Roman" w:cs="Times New Roman" w:eastAsia="Times New Roman"/>
          <w:b w:val="false"/>
          <w:sz w:val="26"/>
        </w:rPr>
        <w:t>Bước 3: 
+ Giải quyết đăng ký khai sinh: Ngay sau khi tiếp nhận hồ sơ, Ủy ban nhân dân phường, xã, thị trấn thực hiện đăng ký khai sinh ngay trong ngày; trường hợp hồ sơ tiếp nhận sau 15 giờ mà không giải quyết được ngay trong ngày thì tiến hành giải quyết trong ngày làm việc tiếp theo. Trong thời hạn 02 ngày làm việc kể từ ngày cấp giấy khai sinh, Ủy ban nhân dân phường, xã, thị trấn có trách nhiệm:
•	Chuyển thông tin đến Bảo hiểm xã hội quận, huyện thông qua mạng điện tử: họ và tên trẻ em; ngày, tháng, năm sinh; giới tính; địa chỉ thường trú của trẻ em; họ tên mẹ hoặc cha hoặc người nuôi dưỡng; nơi đăng ký khám chữa bệnh ban đầu;
•	Lập hồ sơ đăng ký thường trú cho trẻ em và chuyển hồ sơ đăng ký thường trú cho Công an quận, huyện.
+ Giải quyết đăng ký thường trú: Trong thời hạn 05 ngày làm việc, kể từ ngày nhận được hồ sơ đăng ký thường trú do Ủy ban nhân dân phường, xã, thị trấn chuyển đến, Công an quận, huyện kiểm tra tính hợp pháp, đầy đủ của hồ sơ. Trường hợp hồ sơ, lệ phí đầy đủ, đúng quy định, Công an quận, huyện thực hiện đăng ký thường trú cho trẻ em và trả kết quả đăng ký thường trú cho Ủy ban nhân dân phường, xã, thị trấn để trả cho người dân. Người được giao chuyển hồ sơ của Ủy ban nhân dân phường, xã, thị trấn có trách nhiệm kiểm tra các thông tin được ghi trong sổ hộ khẩu và ký nhận vào sổ theo dõi giải quyết hộ khẩu.
Trường hợp hồ sơ chưa đúng quy định thì ngay sau khi tiếp nhận hồ sơ, Công an quận, huyện phải thông báo cho Ủy ban nhân dân phường, xã, thị trấn biết để hoàn thiện hồ sơ và gửi lại cho Công an quận, huyện để đăng ký thường trú cho trẻ em.
Trường hợp hồ sơ không đủ điều kiện đăng ký thường trú thì Công an quận, huyện có văn bản trả lời kèm theo hồ sơ và lệ phí trả lại cho Ủy ban nhân dân phường, xã, thị trấn để xử lý theo quy định;
+ Thực hiện cấp thẻ bảo hiểm y tế: Trong thời gian 05 ngày làm việc kể từ ngày tiếp nhận thông tin qua mạng điện tử do Ủy ban nhân dân phường, xã, thị trấn chuyển đến, Bảo hiểm xã hội quận, huyện có trách nhiệm kiểm tra thông tin và cấp thẻ bảo hiểm y tế. Khi đến nhận kết quả cấp thẻ bảo hiểm y tế, Ủy ban nhân dân phường, xã, thị trấn có trách nhiệm chuyển hồ sơ giấy cho Bảo hiểm xã hội quận, huyện gồm: Tờ khai tham gia bảo hiểm y tế, văn bản đề nghị cấp thẻ bảo hiểm y tế cho trẻ em dưới 6 tuổi của Ủy ban nhân dân phường, xã, thị trấn;
* Trong trường hợp trẻ em bị bệnh nặng, bệnh hiểm nghèo cần phải điều trị tại cơ sở y tế, có xác nhận của Cơ sở y tế điều trị, việc đăng ký khai sinh và cấp thẻ bảo hiểm y tế cho trẻ được thực hiện theo thủ tục rút gọn như sau:
•	Ủy ban nhân dân phường, xã, thị trấn cấp Giấy khai sinh, đồng thời chuyển thông tin cấp thẻ bảo hiểm y tế qua mạng điện tử cho Bảo hiểm xã hội quận, huyện ngay trong ngày nhận hồ sơ;
•	Ngay sau khi tiếp nhận thông tin cấp thẻ bảo hiểm y tế, Bảo hiểm xã hội quận, huyện giải quyết cấp thẻ bảo hiểm y tế cho trẻ trong 01 ngày làm việc và chuyển giao cho Ủy ban nhân dân phường, xã, thị trấn;
•	Việc giải quyết hồ sơ đăng ký thường trú được thực hiện như Quy trình thông thường
</w:t>
      </w:r>
    </w:p>
    <w:p>
      <w:pPr>
        <w:spacing w:after="0" w:before="0" w:lineRule="auto" w:line="276"/>
        <w:jc w:val="both"/>
      </w:pPr>
      <w:r>
        <w:rPr>
          <w:rFonts w:ascii="Times New Roman" w:hAnsi="Times New Roman" w:cs="Times New Roman" w:eastAsia="Times New Roman"/>
          <w:b w:val="false"/>
          <w:sz w:val="26"/>
        </w:rPr>
        <w:t>Bước 4: 
+ Trong thời hạn 10 ngày làm việc, kể từ ngày nhận đủ hồ sơ hợp lệ, người nộp hồ sơ đến Bộ phận tiếp nhận và trả kết quả thuộc Ủy ban nhân dân phường, xã, thị trấn nơi đã nộp hồ sơ để nhận Giấy khai sinh, Thẻ bảo hiểm y tế, Hộ khẩu.
+ Trường hợp thực hiện theo thủ tục rút gọn thì trong thời hạn 02 ngày làm việc, kể từ ngày nộp hồ sơ, người nộp hồ sơ đến Bộ phận tiếp nhận và trả kết quả thuộc Ủy ban nhân dân phường, xã, thị trấn nơi đã nộp hồ sơ để nhận kết quả: Giấy khai sinh, Thẻ bảo hiểm y tế.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kể từ ngày nhận đủ hồ sơ hợp lệ.  
Trường hợp giải quyết hồ sơ theo thủ tục rút gọn thì trong thời hạn 02 ngày làm việc, kể từ ngày nộp hồ sơ, người nộp hồ sơ đến Bộ phận tiếp nhận và trả kết quả thuộc Ủy ban nhân dân phường, xã, thị trấn nơi đã nộp hồ sơ để nhận Giấy khai sinh, Thẻ bảo hiểm y tế</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kể từ ngày nhận đủ hồ sơ hợp lệ.  
Trường hợp giải quyết hồ sơ theo thủ tục rút gọn thì trong thời hạn 02 ngày làm việc, kể từ ngày nộp hồ sơ, người nộp hồ sơ đến Bộ phận tiếp nhận và trả kết quả thuộc Ủy ban nhân dân phường, xã, thị trấn nơi đã nộp hồ sơ để nhận Giấy khai sinh, Thẻ bảo hiểm y tế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khai sinh theo mẫu quy định.</w:t>
            </w:r>
          </w:p>
        </w:tc>
        <w:tc>
          <w:p/>
          <w:p>
            <w:pPr>
              <w:spacing w:after="0" w:before="0" w:lineRule="auto" w:line="276"/>
              <w:jc w:val="left"/>
            </w:pPr>
            <w:r>
              <w:rPr>
                <w:rFonts w:ascii="Times New Roman" w:hAnsi="Times New Roman" w:cs="Times New Roman" w:eastAsia="Times New Roman"/>
                <w:b w:val="false"/>
                <w:sz w:val="26"/>
              </w:rPr>
              <w:t>Tờ khai đăng ký khai sinh.docx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sinh do cơ sở y tế nơi trẻ em sinh ra cấp; nếu trẻ em sinh ra ngoài cơ sở y tế thì giấy chứng sinh được thay bằng văn bản xác nhận của người làm chứng; trường hợp không có người làm chứng thì người đi khai sinh phải làm giấy cam đoan về việc sinh là có thực. Đối với trường hợp trẻ em bị bỏ rơi thì nộp biên bản về việc trẻ em bị bỏ rơi thay cho giấy chứng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Phiếu báo thay đổi hộ khẩu, nhân khẩu (theo mẫu quy định); Sổ hộ khẩu của cha, mẹ (bản chính) hoặc Sổ hộ khẩu của mẹ (bản chính) đối với trường hợp trẻ em đăng ký thường trú theo mẹ hoặc Sổ hộ khẩu của cha (bản chính) đối với trường hợp trẻ em đăng ký thường trú theo cha hoặc Sổ hộ khẩu của người nuôi dưỡng, chăm sóc trẻ (bản chính) đối với trường hợp trẻ em không đăng ký thường trú theo cha, mẹ, bản sao Giấy khai sinh của trẻ.</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trẻ em không đăng ký thường trú cùng hộ khẩu với cha, mẹ mà đăng ký thường trú theo hộ khẩu của người khác thì ngoài bản sao Giấy khai sinh, phải có ý kiến bằng văn bản của cha, mẹ, có xác nhận của Ủy ban nhân dân cấp xã, ý kiến đồng ý của chủ hộ và Sổ hộ khẩu của chủ hộ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tham gia bảo hiểm y tế, Danh sách đề nghị cấp thẻ bảo hiểm y tế cho trẻ em dưới 6 tuổi của Ủy ban nhân dân cấp xã (theo mẫu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Uỷ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khai sinh, Thông báo kết quả giải quyết thủ tục về cư trú, hủy bỏ thủ tục về cư trú, Phiếu từ chối tiếp nhận, giải quyết hồ sơ (lĩnh vực cư trú), Thẻ bảo hiểm y tế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81/2006/QH11</w:t>
            </w:r>
          </w:p>
        </w:tc>
        <w:tc>
          <w:p/>
          <w:p>
            <w:pPr>
              <w:spacing w:after="0" w:before="0" w:lineRule="auto" w:line="276"/>
              <w:jc w:val="left"/>
            </w:pPr>
            <w:r>
              <w:rPr>
                <w:rFonts w:ascii="Times New Roman" w:hAnsi="Times New Roman" w:cs="Times New Roman" w:eastAsia="Times New Roman"/>
                <w:b w:val="false"/>
                <w:sz w:val="26"/>
              </w:rPr>
              <w:t>Luật 81/2006/QH11</w:t>
            </w:r>
          </w:p>
        </w:tc>
        <w:tc>
          <w:p/>
          <w:p>
            <w:pPr>
              <w:spacing w:after="0" w:before="0" w:lineRule="auto" w:line="276"/>
              <w:jc w:val="left"/>
            </w:pPr>
            <w:r>
              <w:rPr>
                <w:rFonts w:ascii="Times New Roman" w:hAnsi="Times New Roman" w:cs="Times New Roman" w:eastAsia="Times New Roman"/>
                <w:b w:val="false"/>
                <w:sz w:val="26"/>
              </w:rPr>
              <w:t>29-11-2006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15/2015/TT-BTP</w:t>
            </w:r>
          </w:p>
        </w:tc>
        <w:tc>
          <w:p/>
          <w:p>
            <w:pPr>
              <w:spacing w:after="0" w:before="0" w:lineRule="auto" w:line="276"/>
              <w:jc w:val="left"/>
            </w:pPr>
            <w:r>
              <w:rPr>
                <w:rFonts w:ascii="Times New Roman" w:hAnsi="Times New Roman" w:cs="Times New Roman" w:eastAsia="Times New Roman"/>
                <w:b w:val="false"/>
                <w:sz w:val="26"/>
              </w:rPr>
              <w:t>Quy định chi tiết thi hành một số điều của Luật hộ tịch và Nghị định số 123/2015/NĐ-CP ngày 15 tháng 11 năm 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16-11-2015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xml:space="preserve">36/2014/TT-BCA </w:t>
            </w:r>
          </w:p>
        </w:tc>
        <w:tc>
          <w:p/>
          <w:p>
            <w:pPr>
              <w:spacing w:after="0" w:before="0" w:lineRule="auto" w:line="276"/>
              <w:jc w:val="left"/>
            </w:pPr>
            <w:r>
              <w:rPr>
                <w:rFonts w:ascii="Times New Roman" w:hAnsi="Times New Roman" w:cs="Times New Roman" w:eastAsia="Times New Roman"/>
                <w:b w:val="false"/>
                <w:sz w:val="26"/>
              </w:rPr>
              <w:t>quy định về biểu mẫu sử dụng trong đăng ký, quản lý cư trú</w:t>
            </w:r>
          </w:p>
        </w:tc>
        <w:tc>
          <w:p/>
          <w:p>
            <w:pPr>
              <w:spacing w:after="0" w:before="0" w:lineRule="auto" w:line="276"/>
              <w:jc w:val="left"/>
            </w:pPr>
            <w:r>
              <w:rPr>
                <w:rFonts w:ascii="Times New Roman" w:hAnsi="Times New Roman" w:cs="Times New Roman" w:eastAsia="Times New Roman"/>
                <w:b w:val="false"/>
                <w:sz w:val="26"/>
              </w:rPr>
              <w:t>09-09-2014</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05/2015/TTLT-BTP-BCA-BYT</w:t>
            </w:r>
          </w:p>
        </w:tc>
        <w:tc>
          <w:p/>
          <w:p>
            <w:pPr>
              <w:spacing w:after="0" w:before="0" w:lineRule="auto" w:line="276"/>
              <w:jc w:val="left"/>
            </w:pPr>
            <w:r>
              <w:rPr>
                <w:rFonts w:ascii="Times New Roman" w:hAnsi="Times New Roman" w:cs="Times New Roman" w:eastAsia="Times New Roman"/>
                <w:b w:val="false"/>
                <w:sz w:val="26"/>
              </w:rPr>
              <w:t>hướng dẫn thực hiện liên thông các thủ tục hành chính về đăng ký khai sinh, đăng ký thường trú, cấp thẻ bảo hiểm y tế cho trẻ em dưới 06 tuổi</w:t>
            </w:r>
          </w:p>
        </w:tc>
        <w:tc>
          <w:p/>
          <w:p>
            <w:pPr>
              <w:spacing w:after="0" w:before="0" w:lineRule="auto" w:line="276"/>
              <w:jc w:val="left"/>
            </w:pPr>
            <w:r>
              <w:rPr>
                <w:rFonts w:ascii="Times New Roman" w:hAnsi="Times New Roman" w:cs="Times New Roman" w:eastAsia="Times New Roman"/>
                <w:b w:val="false"/>
                <w:sz w:val="26"/>
              </w:rPr>
              <w:t>15-02-2015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xml:space="preserve">595/QĐ-BHXH </w:t>
            </w:r>
          </w:p>
        </w:tc>
        <w:tc>
          <w:p/>
          <w:p>
            <w:pPr>
              <w:spacing w:after="0" w:before="0" w:lineRule="auto" w:line="276"/>
              <w:jc w:val="left"/>
            </w:pPr>
            <w:r>
              <w:rPr>
                <w:rFonts w:ascii="Times New Roman" w:hAnsi="Times New Roman" w:cs="Times New Roman" w:eastAsia="Times New Roman"/>
                <w:b w:val="false"/>
                <w:sz w:val="26"/>
              </w:rPr>
              <w:t>ban hành Quy trình thu bảo hiểm xã hội, bảo hiểm y tế, bảo hiểm thất nghiệp, bảo hiểm tai nạn lao động, bệnh nghề nghiệp; cấp sổ bảo hiểm xã hội, thẻ bảo hiểm y tế</w:t>
            </w:r>
          </w:p>
        </w:tc>
        <w:tc>
          <w:p/>
          <w:p>
            <w:pPr>
              <w:spacing w:after="0" w:before="0" w:lineRule="auto" w:line="276"/>
              <w:jc w:val="left"/>
            </w:pPr>
            <w:r>
              <w:rPr>
                <w:rFonts w:ascii="Times New Roman" w:hAnsi="Times New Roman" w:cs="Times New Roman" w:eastAsia="Times New Roman"/>
                <w:b w:val="false"/>
                <w:sz w:val="26"/>
              </w:rPr>
              <w:t>14-04-2017</w:t>
            </w:r>
          </w:p>
        </w:tc>
        <w:tc>
          <w:p/>
          <w:p>
            <w:pPr>
              <w:spacing w:after="0" w:before="0" w:lineRule="auto" w:line="276"/>
              <w:jc w:val="left"/>
            </w:pPr>
            <w:r>
              <w:rPr>
                <w:rFonts w:ascii="Times New Roman" w:hAnsi="Times New Roman" w:cs="Times New Roman" w:eastAsia="Times New Roman"/>
                <w:b w:val="false"/>
                <w:sz w:val="26"/>
              </w:rPr>
              <w:t>Bảo hiểm xã hội Việt Nam</w:t>
            </w:r>
          </w:p>
        </w:tc>
      </w:tr>
      <w:tr>
        <w:tc>
          <w:p/>
          <w:p>
            <w:pPr>
              <w:spacing w:after="0" w:before="0" w:lineRule="auto" w:line="276"/>
              <w:jc w:val="left"/>
            </w:pPr>
            <w:r>
              <w:rPr>
                <w:rFonts w:ascii="Times New Roman" w:hAnsi="Times New Roman" w:cs="Times New Roman" w:eastAsia="Times New Roman"/>
                <w:b w:val="false"/>
                <w:sz w:val="26"/>
              </w:rPr>
              <w:t xml:space="preserve">42/2016/QĐ-UBND </w:t>
            </w:r>
          </w:p>
        </w:tc>
        <w:tc>
          <w:p/>
          <w:p>
            <w:pPr>
              <w:spacing w:after="0" w:before="0" w:lineRule="auto" w:line="276"/>
              <w:jc w:val="left"/>
            </w:pPr>
            <w:r>
              <w:rPr>
                <w:rFonts w:ascii="Times New Roman" w:hAnsi="Times New Roman" w:cs="Times New Roman" w:eastAsia="Times New Roman"/>
                <w:b w:val="false"/>
                <w:sz w:val="26"/>
              </w:rPr>
              <w:t>Quy chế thực hiện liên thông thủ tục hành chính về đăng ký khai sinh, đăng ký thường trú, cấp thẻ bảo hiểm y tế cho trẻ em dưới 6 tuổi và đăng ký khai tử, xóa đăng ký thường trú trên địa bàn thành phố Hồ Chi Minh</w:t>
            </w:r>
          </w:p>
        </w:tc>
        <w:tc>
          <w:p/>
          <w:p>
            <w:pPr>
              <w:spacing w:after="0" w:before="0" w:lineRule="auto" w:line="276"/>
              <w:jc w:val="left"/>
            </w:pPr>
            <w:r>
              <w:rPr>
                <w:rFonts w:ascii="Times New Roman" w:hAnsi="Times New Roman" w:cs="Times New Roman" w:eastAsia="Times New Roman"/>
                <w:b w:val="false"/>
                <w:sz w:val="26"/>
              </w:rPr>
              <w:t>28-10-2016</w:t>
            </w:r>
          </w:p>
        </w:tc>
        <w:tc>
          <w:p/>
        </w:tc>
      </w:tr>
      <w:tr>
        <w:tc>
          <w:p/>
          <w:p>
            <w:pPr>
              <w:spacing w:after="0" w:before="0" w:lineRule="auto" w:line="276"/>
              <w:jc w:val="left"/>
            </w:pPr>
            <w:r>
              <w:rPr>
                <w:rFonts w:ascii="Times New Roman" w:hAnsi="Times New Roman" w:cs="Times New Roman" w:eastAsia="Times New Roman"/>
                <w:b w:val="false"/>
                <w:sz w:val="26"/>
              </w:rPr>
              <w:t xml:space="preserve">124/2016/NQ-HĐND </w:t>
            </w:r>
          </w:p>
        </w:tc>
        <w:tc>
          <w:p/>
          <w:p>
            <w:pPr>
              <w:spacing w:after="0" w:before="0" w:lineRule="auto" w:line="276"/>
              <w:jc w:val="left"/>
            </w:pPr>
            <w:r>
              <w:rPr>
                <w:rFonts w:ascii="Times New Roman" w:hAnsi="Times New Roman" w:cs="Times New Roman" w:eastAsia="Times New Roman"/>
                <w:b w:val="false"/>
                <w:sz w:val="26"/>
              </w:rPr>
              <w:t>về các loại phí và lệ phí trên địa bàn Thành phố Hồ Chí Minh</w:t>
            </w:r>
          </w:p>
        </w:tc>
        <w:tc>
          <w:p/>
          <w:p>
            <w:pPr>
              <w:spacing w:after="0" w:before="0" w:lineRule="auto" w:line="276"/>
              <w:jc w:val="left"/>
            </w:pPr>
            <w:r>
              <w:rPr>
                <w:rFonts w:ascii="Times New Roman" w:hAnsi="Times New Roman" w:cs="Times New Roman" w:eastAsia="Times New Roman"/>
                <w:b w:val="false"/>
                <w:sz w:val="26"/>
              </w:rPr>
              <w:t>09-12-2016</w:t>
            </w:r>
          </w:p>
        </w:tc>
        <w:tc>
          <w:p/>
        </w:tc>
      </w:tr>
      <w:tr>
        <w:tc>
          <w:p/>
          <w:p>
            <w:pPr>
              <w:spacing w:after="0" w:before="0" w:lineRule="auto" w:line="276"/>
              <w:jc w:val="left"/>
            </w:pPr>
            <w:r>
              <w:rPr>
                <w:rFonts w:ascii="Times New Roman" w:hAnsi="Times New Roman" w:cs="Times New Roman" w:eastAsia="Times New Roman"/>
                <w:b w:val="false"/>
                <w:sz w:val="26"/>
              </w:rPr>
              <w:t>52/2016/QĐ-UBND</w:t>
            </w:r>
          </w:p>
        </w:tc>
        <w:tc>
          <w:p/>
          <w:p>
            <w:pPr>
              <w:spacing w:after="0" w:before="0" w:lineRule="auto" w:line="276"/>
              <w:jc w:val="left"/>
            </w:pPr>
            <w:r>
              <w:rPr>
                <w:rFonts w:ascii="Times New Roman" w:hAnsi="Times New Roman" w:cs="Times New Roman" w:eastAsia="Times New Roman"/>
                <w:b w:val="false"/>
                <w:sz w:val="26"/>
              </w:rPr>
              <w:t>ban hành mức thu 10 loại phí và 7 loại lệ phí trên địa bàn Thành phố Hồ Chí Minh</w:t>
            </w:r>
          </w:p>
        </w:tc>
        <w:tc>
          <w:p/>
          <w:p>
            <w:pPr>
              <w:spacing w:after="0" w:before="0" w:lineRule="auto" w:line="276"/>
              <w:jc w:val="left"/>
            </w:pPr>
            <w:r>
              <w:rPr>
                <w:rFonts w:ascii="Times New Roman" w:hAnsi="Times New Roman" w:cs="Times New Roman" w:eastAsia="Times New Roman"/>
                <w:b w:val="false"/>
                <w:sz w:val="26"/>
              </w:rPr>
              <w:t>10-12-2016</w:t>
            </w:r>
          </w:p>
        </w:tc>
        <w:tc>
          <w:p/>
        </w:tc>
      </w:tr>
      <w:tr>
        <w:tc>
          <w:p/>
          <w:p>
            <w:pPr>
              <w:spacing w:after="0" w:before="0" w:lineRule="auto" w:line="276"/>
              <w:jc w:val="left"/>
            </w:pPr>
            <w:r>
              <w:rPr>
                <w:rFonts w:ascii="Times New Roman" w:hAnsi="Times New Roman" w:cs="Times New Roman" w:eastAsia="Times New Roman"/>
                <w:b w:val="false"/>
                <w:sz w:val="26"/>
              </w:rPr>
              <w:t xml:space="preserve">07/2017/NQ-HĐND </w:t>
            </w:r>
          </w:p>
        </w:tc>
        <w:tc>
          <w:p/>
          <w:p>
            <w:pPr>
              <w:spacing w:after="0" w:before="0" w:lineRule="auto" w:line="276"/>
              <w:jc w:val="left"/>
            </w:pPr>
            <w:r>
              <w:rPr>
                <w:rFonts w:ascii="Times New Roman" w:hAnsi="Times New Roman" w:cs="Times New Roman" w:eastAsia="Times New Roman"/>
                <w:b w:val="false"/>
                <w:sz w:val="26"/>
              </w:rPr>
              <w:t>ban hành mức thu lệ phí đăng ký cư trú trên địa bàn Thành phố Hồ Chí Minh</w:t>
            </w:r>
          </w:p>
        </w:tc>
        <w:tc>
          <w:p/>
          <w:p>
            <w:pPr>
              <w:spacing w:after="0" w:before="0" w:lineRule="auto" w:line="276"/>
              <w:jc w:val="left"/>
            </w:pPr>
            <w:r>
              <w:rPr>
                <w:rFonts w:ascii="Times New Roman" w:hAnsi="Times New Roman" w:cs="Times New Roman" w:eastAsia="Times New Roman"/>
                <w:b w:val="false"/>
                <w:sz w:val="26"/>
              </w:rPr>
              <w:t>07-12-2017</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Việc đăng ký khai sinh cho trẻ em dưới 6 tuổi thuộc thẩm quyền giải quyết của Ủy ban nhân dân cấp xã.
- Các cơ quan có thẩm quyền thực hiện liên thông các thủ tục hành chính phải cùng thuộc địa bàn một huyện, thị xã, thành phố thuộc tỉnh của tỉnh hoặc cùng thuộc địa bàn một quận, huyện, thị xã của thành phố trực thuộc trung ương.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2026-05-28T18:06:38Z</dcterms:created>
  <dc:creator>Apache POI</dc:creator>
</cp:coreProperties>
</file>