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1.004434.000.00.00.H56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Đấu giá quyền khai thác khoáng sản ở khu vực chưa thăm dò khoáng sản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đề nghị tham gia đấu giá
Tổ chức, cá nhân có nhu cầu tham gia đấu giá quyền khai thác khoáng sản phải lập hồ sơ đề nghị tham gia đấu giá quyền khai thác khoáng sản và nộp cho Tổ chức đấu giá tài sản (TH1: trường hợp cuộc đấu giá do Tổ chức đấu giá tài sản thực hiện) hoặc Sở Nông nghiệp và Môi trường (TH2: trường hợp cuộc đấu giá do Hội đồng đấu giá quyền khai thác khoáng sản thực hiện).
- Bước 2. Tiếp nhận, xét chọn hồ sơ đề nghị tham gia cuộc đấu giá quyền khai thác khoáng sản.
+ Tổ chức đấu giá tài sản hoặc Sở Nông nghiệp và Môi trường tiếp nhận hồ sơ đề nghị tham gia đấu giá quyền khai thác khoáng sản cho đến trước ngày mở cuộc đấu giá 02 ngày làm việc.
+ Sau khi hết thời hạn tiếp nhận hồ sơ đăng ký tham gia đấu giá quyền khai thác khoáng sản, Sở Nông nghiệp và Môi trường tiến hành xét chọn hồ sơ để lựa chọn tổ chức, cá nhân đủ điều kiện tham gia cuộc đấu giá.
+ Đối với hồ sơ đề nghị tham gia đấu giá quyền khai thác khoáng sản không được xét chọn, Tổ chức đấu giá tài sản (TH1) hoặc Sở Nông nghiệp và Môi trường (TH2) phải thông báo cho tổ chức, cá nhân liên quan bằng văn bản, trong đó nêu rõ lý do không được xét chọn.
+ Đối với hồ sơ được xét chọn, Tổ chức đấu giá tài sản (TH1) hoặc Sở Nông nghiệp và Môi trường (TH2) thông báo bằng văn bản về thời gian, địa điểm tổ chức cuộc đấu giá cho tổ chức, cá nhân được tham gia cuộc đấu giá.
- Bước 3. Nộp tiền đặt trước
Tổ chức, cá nhân tham gia đấu giá quyền khai thác khoáng sản phải nộp tiền đặt trước trước khi tham gia cuộc đấu giá. Tiền đặt trước có thể nộp bằng tiền mặt hoặc bằng bảo lãnh dự đấu giá theo phương thức như sau:
+ Trường hợp nộp bằng tiền mặt, tổ chức, cá nhân tham gia đấu giá nộp vào tài khoản thanh toán riêng của Tổ chức đấu giá tài sản mở tại ngân hàng thương mại, chi nhánh ngân hàng nước ngoài tại Việt Nam (TH1) hoặc nộp vào tài khoản của Sở Nông nghiệp và Môi trường (TH2);
+ Trường hợp nộp bằng bảo lãnh dự đấu giá, tổ chức, cá nhân đề nghị tham gia đấu giá phải nộp bảo lãnh dự đấu giá cho Tổ chức đấu giá tài sản (TH1) hoặc Sở Nông nghiệp và Môi trường (TH2).
- Bước 4. Tổ chức cuộc đấu giá quyền khai thác khoáng sản.
+ Cuộc đấu giá quyền khai thác khoáng sản chỉ được tiến hành khi có ít nhất 02 tổ chức, cá nhân tham gia đấu giá;
+ Chủ tịch Hội đồng đấu giá hoặc đấu giá viên tiến hành điều hành cuộc đấu giá theo quy định.
- Bước 5. Trình, phê duyệt kết quả trúng đấu giá quyền khai thác khoáng sản.
Sau khi kết thúc cuộc đấu giá quyền khai thác khoáng sản, Sở Nông nghiệp và Môi trường phải trình Ủy ban nhân dân cấp tỉnh xem xét và phê duyệt kết quả trúng đấu giá.
- Bước 6. Thông báo kết quả trúng đấu giá quyền khai thác khoáng sản.
Sở Nông nghiệp và Môi trường thông báo công khai tại trụ sở cơ quan tiếp nhận hồ sơ đấu giá, trang thông tin điện tử của Ủy ban nhân dân cấp tỉnh nơi có khu vực khoáng sản được đấu giá.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8.000.000 đồng/1 hồ sơ </w:t>
              <w:t xml:space="preserve"> (- Diện tích khu vựa đấu giá từ trên 5 ha đến 10 ha: 8.000.000 đồng/hồ sơ.)</w:t>
            </w:r>
          </w:p>
          <w:p>
            <w:pPr>
              <w:spacing w:after="0" w:before="0" w:lineRule="auto" w:line="276"/>
              <w:jc w:val="left"/>
            </w:pPr>
            <w:r>
              <w:rPr>
                <w:rFonts w:ascii="Times New Roman" w:hAnsi="Times New Roman" w:cs="Times New Roman" w:eastAsia="Times New Roman"/>
                <w:b w:val="false"/>
                <w:sz w:val="26"/>
              </w:rPr>
              <w:t xml:space="preserve">Lệ phí : 10.000.000 đồng/1 hồ sơ </w:t>
              <w:t xml:space="preserve"> (- Diện tích khu vựa đấu giá từ trên 10 ha đến 50 ha: 10.000.000 đồng/hồ sơ.)</w:t>
            </w:r>
          </w:p>
          <w:p>
            <w:pPr>
              <w:spacing w:after="0" w:before="0" w:lineRule="auto" w:line="276"/>
              <w:jc w:val="left"/>
            </w:pPr>
            <w:r>
              <w:rPr>
                <w:rFonts w:ascii="Times New Roman" w:hAnsi="Times New Roman" w:cs="Times New Roman" w:eastAsia="Times New Roman"/>
                <w:b w:val="false"/>
                <w:sz w:val="26"/>
              </w:rPr>
              <w:t xml:space="preserve">Lệ phí : 12.000.000 đồng/1 hồ sơ </w:t>
              <w:t xml:space="preserve"> (- Diện tích khu vựa đấu giá từ trên 50 ha: 12.000.000 đồng/hồ sơ.)</w:t>
            </w:r>
          </w:p>
          <w:p>
            <w:pPr>
              <w:spacing w:after="0" w:before="0" w:lineRule="auto" w:line="276"/>
              <w:jc w:val="left"/>
            </w:pPr>
            <w:r>
              <w:rPr>
                <w:rFonts w:ascii="Times New Roman" w:hAnsi="Times New Roman" w:cs="Times New Roman" w:eastAsia="Times New Roman"/>
                <w:b w:val="false"/>
                <w:sz w:val="26"/>
              </w:rPr>
              <w:t xml:space="preserve">Lệ phí : 2.000.000 đồng/1 hồ sơ </w:t>
              <w:t xml:space="preserve"> (- Diện tích khu vựa đấu giá từ 0,5 ha trở xuống: 2.000.000 đồng/hồ sơ.)</w:t>
            </w:r>
          </w:p>
          <w:p>
            <w:pPr>
              <w:spacing w:after="0" w:before="0" w:lineRule="auto" w:line="276"/>
              <w:jc w:val="left"/>
            </w:pPr>
            <w:r>
              <w:rPr>
                <w:rFonts w:ascii="Times New Roman" w:hAnsi="Times New Roman" w:cs="Times New Roman" w:eastAsia="Times New Roman"/>
                <w:b w:val="false"/>
                <w:sz w:val="26"/>
              </w:rPr>
              <w:t xml:space="preserve">Lệ phí : 4.000.000 đồng/1 hồ sơ </w:t>
              <w:t xml:space="preserve"> (- Diện tích khu vựa đấu giá từ trên 0,5 ha đến 2 ha: 4.000.000 đồng/hồ sơ.)</w:t>
            </w:r>
          </w:p>
          <w:p>
            <w:pPr>
              <w:spacing w:after="0" w:before="0" w:lineRule="auto" w:line="276"/>
              <w:jc w:val="left"/>
            </w:pPr>
            <w:r>
              <w:rPr>
                <w:rFonts w:ascii="Times New Roman" w:hAnsi="Times New Roman" w:cs="Times New Roman" w:eastAsia="Times New Roman"/>
                <w:b w:val="false"/>
                <w:sz w:val="26"/>
              </w:rPr>
              <w:t xml:space="preserve">Lệ phí : 6.000.000 đồng/1 hồ sơ </w:t>
              <w:t xml:space="preserve"> (- Diện tích khu vựa đấu giá từ trên 2 ha đến 5 ha: 6.000.000 đồng/hồ sơ.)</w:t>
            </w:r>
          </w:p>
        </w:tc>
        <w:tc>
          <w:p/>
          <w:p>
            <w:pPr>
              <w:spacing w:after="0" w:before="0" w:lineRule="auto" w:line="276"/>
              <w:jc w:val="left"/>
            </w:pPr>
            <w:r>
              <w:rPr>
                <w:rFonts w:ascii="Times New Roman" w:hAnsi="Times New Roman" w:cs="Times New Roman" w:eastAsia="Times New Roman"/>
                <w:b w:val="false"/>
                <w:sz w:val="26"/>
              </w:rPr>
              <w:t>- Thời gian tiếp nhận hồ sơ đề nghị tham gia đấu giá quyền khai thác khoáng sản ít 
nhất là 15 ngày làm việc, kể từ ngày niêm yết việc đấu giá.
- Trong thời gian không quá 01 ngày, kể từ ngày hết hạn tiếp nhận hồ sơ đề nghị 
tham gia đấu giá, Sở Nông nghiệp và Môi trường phải hoàn thành phương án xét chọn 
hồ sơ của tổ chức, cá nhân đề nghị tham gia cuộc đấu giá.
- Thời gian nộp tiền đặt trước được thông báo trong hồ sơ mời đấu giá quyền 
khai thác khoáng sản trước khi tổ chức cuộc đấu giá ít nhất là 03 ngày.
- Trong thời gian không quá 05 ngày làm việc, kể từ ngày kết thúc cuộc đấu giá 
quyền khai thác khoáng sản, Sở Nông nghiệp và Môi trường phải trình Ủy ban nhân dân 
tỉnh hồ sơ phê duyệt kết quả trúng đấu giá.
- Trong thời gian không quá 05 ngày làm việc, kể từ ngày nhận được hồ sơ phê 
duyệt kết quả trúng đấu giá, Ủy ban nhân dân tỉnh phải ban hành văn bản phê duyệt 
kết quả trúng đấu giá.
- Thời gian thông báo và đăng tải công khai kết quả trúng đấu giá là 05 ngày, kể 
từ ngày kết thúc cuộc đấu giá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tham gia đấu giá quyền khai thác khoáng sản;</w:t>
            </w:r>
          </w:p>
        </w:tc>
        <w:tc>
          <w:p/>
          <w:p>
            <w:pPr>
              <w:spacing w:after="0" w:before="0" w:lineRule="auto" w:line="276"/>
              <w:jc w:val="left"/>
            </w:pPr>
            <w:r>
              <w:rPr>
                <w:rFonts w:ascii="Times New Roman" w:hAnsi="Times New Roman" w:cs="Times New Roman" w:eastAsia="Times New Roman"/>
                <w:b w:val="false"/>
                <w:sz w:val="26"/>
              </w:rPr>
              <w:t>Mauso03_Dondenghithamgiadaugiaquyenkhaithackhoangsan.doc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có chứng thực từ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giới thiệu năng lực, kinh nghiệm trong thăm dò, khai thác và chế biến khoáng sản</w:t>
            </w:r>
          </w:p>
        </w:tc>
        <w:tc>
          <w:p/>
          <w:p>
            <w:pPr>
              <w:spacing w:after="0" w:before="0" w:lineRule="auto" w:line="276"/>
              <w:jc w:val="left"/>
            </w:pPr>
            <w:r>
              <w:rPr>
                <w:rFonts w:ascii="Times New Roman" w:hAnsi="Times New Roman" w:cs="Times New Roman" w:eastAsia="Times New Roman"/>
                <w:b w:val="false"/>
                <w:sz w:val="26"/>
              </w:rPr>
              <w:t>Mauso04_Vanbangioithieunangluctrongthamdokhaithacvchebienkhoangsan.doc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Giới thiệu năng lực tài chính và khả năng huy động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điện tử được ký chữ ký số kế hoạch sơ bộ về đầu tư thăm dò, khai thác, chế biến sâu, tiêu thụ sản phẩm và bản cam kết thực hiện nếu trúng đấu giá</w:t>
            </w:r>
          </w:p>
        </w:tc>
        <w:tc>
          <w:p/>
          <w:p>
            <w:pPr>
              <w:spacing w:after="0" w:before="0" w:lineRule="auto" w:line="276"/>
              <w:jc w:val="left"/>
            </w:pPr>
            <w:r>
              <w:rPr>
                <w:rFonts w:ascii="Times New Roman" w:hAnsi="Times New Roman" w:cs="Times New Roman" w:eastAsia="Times New Roman"/>
                <w:b w:val="false"/>
                <w:sz w:val="26"/>
              </w:rPr>
              <w:t>Mauso03-Bancamketthuchienduankhoangsan.docx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của Sở Nông nghiệp và Môi trường tại Trung tâm hành chính công tỉnh (Số 28 Đại lộ Lê Lợi, phường Điện Biên, TP.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Tư pháp, Sở Tài chính, Sở Công thương, Sở Xây dựng, Ủy ban nhân dân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kết quả trúng đấu giá quyền khai thác khoáng sản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60/2010/QH12</w:t>
            </w:r>
          </w:p>
        </w:tc>
        <w:tc>
          <w:p/>
          <w:p>
            <w:pPr>
              <w:spacing w:after="0" w:before="0" w:lineRule="auto" w:line="276"/>
              <w:jc w:val="left"/>
            </w:pPr>
            <w:r>
              <w:rPr>
                <w:rFonts w:ascii="Times New Roman" w:hAnsi="Times New Roman" w:cs="Times New Roman" w:eastAsia="Times New Roman"/>
                <w:b w:val="false"/>
                <w:sz w:val="26"/>
              </w:rPr>
              <w:t>Luật 60/2010/QH12</w:t>
            </w:r>
          </w:p>
        </w:tc>
        <w:tc>
          <w:p/>
          <w:p>
            <w:pPr>
              <w:spacing w:after="0" w:before="0" w:lineRule="auto" w:line="276"/>
              <w:jc w:val="left"/>
            </w:pPr>
            <w:r>
              <w:rPr>
                <w:rFonts w:ascii="Times New Roman" w:hAnsi="Times New Roman" w:cs="Times New Roman" w:eastAsia="Times New Roman"/>
                <w:b w:val="false"/>
                <w:sz w:val="26"/>
              </w:rPr>
              <w:t>17-11-2010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22/2012/NĐ-CP</w:t>
            </w:r>
          </w:p>
        </w:tc>
        <w:tc>
          <w:p/>
          <w:p>
            <w:pPr>
              <w:spacing w:after="0" w:before="0" w:lineRule="auto" w:line="276"/>
              <w:jc w:val="left"/>
            </w:pPr>
            <w:r>
              <w:rPr>
                <w:rFonts w:ascii="Times New Roman" w:hAnsi="Times New Roman" w:cs="Times New Roman" w:eastAsia="Times New Roman"/>
                <w:b w:val="false"/>
                <w:sz w:val="26"/>
              </w:rPr>
              <w:t>Nghị định 22/2012/NĐ-CP</w:t>
            </w:r>
          </w:p>
        </w:tc>
        <w:tc>
          <w:p/>
          <w:p>
            <w:pPr>
              <w:spacing w:after="0" w:before="0" w:lineRule="auto" w:line="276"/>
              <w:jc w:val="left"/>
            </w:pPr>
            <w:r>
              <w:rPr>
                <w:rFonts w:ascii="Times New Roman" w:hAnsi="Times New Roman" w:cs="Times New Roman" w:eastAsia="Times New Roman"/>
                <w:b w:val="false"/>
                <w:sz w:val="26"/>
              </w:rPr>
              <w:t>26-03-2012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54/2014/TTLT-BTNMT-BTC</w:t>
            </w:r>
          </w:p>
        </w:tc>
        <w:tc>
          <w:p/>
          <w:p>
            <w:pPr>
              <w:spacing w:after="0" w:before="0" w:lineRule="auto" w:line="276"/>
              <w:jc w:val="left"/>
            </w:pPr>
            <w:r>
              <w:rPr>
                <w:rFonts w:ascii="Times New Roman" w:hAnsi="Times New Roman" w:cs="Times New Roman" w:eastAsia="Times New Roman"/>
                <w:b w:val="false"/>
                <w:sz w:val="26"/>
              </w:rPr>
              <w:t>Thông tư liên tịch 54/2014/TTLT-BTNMT-BTC</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158/2016/NĐ-CP</w:t>
            </w:r>
          </w:p>
        </w:tc>
        <w:tc>
          <w:p/>
          <w:p>
            <w:pPr>
              <w:spacing w:after="0" w:before="0" w:lineRule="auto" w:line="276"/>
              <w:jc w:val="left"/>
            </w:pPr>
            <w:r>
              <w:rPr>
                <w:rFonts w:ascii="Times New Roman" w:hAnsi="Times New Roman" w:cs="Times New Roman" w:eastAsia="Times New Roman"/>
                <w:b w:val="false"/>
                <w:sz w:val="26"/>
              </w:rPr>
              <w:t>Nghị định 158/2016/NĐ-CP</w:t>
            </w:r>
          </w:p>
        </w:tc>
        <w:tc>
          <w:p/>
          <w:p>
            <w:pPr>
              <w:spacing w:after="0" w:before="0" w:lineRule="auto" w:line="276"/>
              <w:jc w:val="left"/>
            </w:pPr>
            <w:r>
              <w:rPr>
                <w:rFonts w:ascii="Times New Roman" w:hAnsi="Times New Roman" w:cs="Times New Roman" w:eastAsia="Times New Roman"/>
                <w:b w:val="false"/>
                <w:sz w:val="26"/>
              </w:rPr>
              <w:t>29-11-2016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16/2014/TT-BTNMT</w:t>
            </w:r>
          </w:p>
        </w:tc>
        <w:tc>
          <w:p/>
          <w:p>
            <w:pPr>
              <w:spacing w:after="0" w:before="0" w:lineRule="auto" w:line="276"/>
              <w:jc w:val="left"/>
            </w:pPr>
            <w:r>
              <w:rPr>
                <w:rFonts w:ascii="Times New Roman" w:hAnsi="Times New Roman" w:cs="Times New Roman" w:eastAsia="Times New Roman"/>
                <w:b w:val="false"/>
                <w:sz w:val="26"/>
              </w:rPr>
              <w:t>Thông tư 16/2014/TT-BTNMT</w:t>
            </w:r>
          </w:p>
        </w:tc>
        <w:tc>
          <w:p/>
          <w:p>
            <w:pPr>
              <w:spacing w:after="0" w:before="0" w:lineRule="auto" w:line="276"/>
              <w:jc w:val="left"/>
            </w:pPr>
            <w:r>
              <w:rPr>
                <w:rFonts w:ascii="Times New Roman" w:hAnsi="Times New Roman" w:cs="Times New Roman" w:eastAsia="Times New Roman"/>
                <w:b w:val="false"/>
                <w:sz w:val="26"/>
              </w:rPr>
              <w:t>01-06-2014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số 22/2023/NĐ-CP ngày 12 tháng 5 năm 2023 của Chính phủ sửa đổi, bổ sung một số điều của các nghị định liên quan đến hoạt động kinh doanh trong lĩnh vực tài nguyên và môi trường</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120/2015/NQ-HĐND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quy định mức thu phí tham gia đấu giá quyền khai thác khoáng sản trên địa bàn tỉnh Thanh Hóa được Ủy ban nhân dân tỉnh cấp phép</w:t>
            </w:r>
          </w:p>
        </w:tc>
        <w:tc>
          <w:p/>
          <w:p>
            <w:pPr>
              <w:spacing w:after="0" w:before="0" w:lineRule="auto" w:line="276"/>
              <w:jc w:val="left"/>
            </w:pPr>
            <w:r>
              <w:rPr>
                <w:rFonts w:ascii="Times New Roman" w:hAnsi="Times New Roman" w:cs="Times New Roman" w:eastAsia="Times New Roman"/>
                <w:b w:val="false"/>
                <w:sz w:val="26"/>
              </w:rPr>
              <w:t>17-07-2015</w:t>
            </w:r>
          </w:p>
        </w:tc>
        <w:tc>
          <w:p/>
          <w:p>
            <w:pPr>
              <w:spacing w:after="0" w:before="0" w:lineRule="auto" w:line="276"/>
              <w:jc w:val="left"/>
            </w:pPr>
            <w:r>
              <w:rPr>
                <w:rFonts w:ascii="Times New Roman" w:hAnsi="Times New Roman" w:cs="Times New Roman" w:eastAsia="Times New Roman"/>
                <w:b w:val="false"/>
                <w:sz w:val="26"/>
              </w:rPr>
              <w:t>Hội đồng nhân dân cấp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được xét chọn tham gia cuộc đấu giá quyền khai thác khoáng sản khi đủ các yêu cầu sau:
+ Có văn bản, tài liệu trong hồ sơ đề nghị tham gia đấu giá quyền khai thác khoáng sản được lập theo quy định;
+ Đáp ứng các quy định của tổ chức, cá nhân thăm dò khoáng sản hoặc khai thác khoáng sản.
+ Có cam kết về thiết bị, công nghệ khai thác, chế biến khoáng sản và phương án tiêu thụ sản phẩm phù hợp với quy định trong hồ sơ mời đấu giá.
- Điều kiện của tổ chức, cá nhân tham gia cuộc đấu giá:
+ Là tổ chức, cá nhân có hồ sơ đề nghị tham gia cuộc đấu giá được Sở Nông nghiệp và Môi trường xét chọn;
+ Đã nộp tiền đặt trước theo quy định;
+ Trường hợp khi có sự thay đổi về tư cách pháp nhân, tổ chức cá nhân được tham gia cuộc đấu giá phải nộp bổ sung văn bản liên quan cho Tổ chức đấu giá tài sản hoặc Sở Nông nghiệp và Môi trường trước khi tiến hành cuộc đấu giá.
+ Tổ chức, cá nhân tham gia cuộc đấu giá và trúng đấu giá quyền khai thác khoáng sản nhưng từ chối không nhận kết quả trúng đấu giá thì không được tham gia bất kỳ cuộc đấu giá nào trong thời hạn 01 năm, kể từ ngày kết thúc cuộc đấu giá đó.
- Đối tượng không được tham gia đấu giá theo quy định tại Điều 9 Nghị định 22/2012/NĐ-CP, cụ thể là:
+ Chủ tịch, thành viên Hội đồng đấu giá; cán bộ công chức được giao tiếp nhận, chuẩn bị hồ sơ mời đấu giá quyền khai thác khoáng sản của Sở Nông nghiệp và Môi trường; cha, mẹ, vợ, chồng, con của những người nêu trên.
+ Những đối tượng bị cấm khác theo quy định của pháp luật về bán đấu giá tài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2026-05-26T17:48:39Z</dcterms:created>
  <dc:creator>Apache POI</dc:creator>
</cp:coreProperties>
</file>