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1.003029.000.00.00.H56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2725/QĐ-UBND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tiêu chuẩn áp dụng đối với thiết bị y tế thuộc loại A, B</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Thiết bị y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khi đưa thiết bị y tế thuộc loại A, B lưu thông trên thị trường,
cơ sở công bố tiêu chuẩn áp dụng có trách nhiệm nộp hồ sơ công bố về Sở Y
tế nơi đặt trụ sở kinh doanh.
Bước 2: Khi nhận hồ sơ (bao gồm cả giấy tờ xác nhận đã nộp phí theo quy
định của Bộ Tài chính), Sở Y tế trên địa bàn nơi đặt cơ sở kinh doanh thiết bị
y tế đăng tải Số công bố tiêu chuẩn áp dụng đối với thiết bị y tế thuộc loại A,
B công khai trên Cổng thông tin điện tử về quản lý thiết bị y tế và hồ sơ công
bố tiêu chuẩn áp dụng, trừ tài liệu quy định tại khoản 5 Điều 26 Nghị định
98/2021/NĐ-CP.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01 Ngày</w:t>
            </w:r>
          </w:p>
        </w:tc>
        <w:tc>
          <w:p/>
          <w:p>
            <w:pPr>
              <w:spacing w:after="0" w:before="0" w:lineRule="auto" w:line="276"/>
              <w:jc w:val="left"/>
            </w:pPr>
            <w:r>
              <w:rPr>
                <w:rFonts w:ascii="Times New Roman" w:hAnsi="Times New Roman" w:cs="Times New Roman" w:eastAsia="Times New Roman"/>
                <w:b w:val="false"/>
                <w:sz w:val="26"/>
              </w:rPr>
              <w:t>Phí : 1.000.000 Đồng</w:t>
              <w:t xml:space="preserve"> (Công bố trang thiết bị y tế loại A,áp dụng từ ngày 01/01/2027 trở đi)</w:t>
            </w:r>
          </w:p>
          <w:p>
            <w:pPr>
              <w:spacing w:after="0" w:before="0" w:lineRule="auto" w:line="276"/>
              <w:jc w:val="left"/>
            </w:pPr>
            <w:r>
              <w:rPr>
                <w:rFonts w:ascii="Times New Roman" w:hAnsi="Times New Roman" w:cs="Times New Roman" w:eastAsia="Times New Roman"/>
                <w:b w:val="false"/>
                <w:sz w:val="26"/>
              </w:rPr>
              <w:t>Phí : 1.500.000 Đồng</w:t>
              <w:t xml:space="preserve"> (Loại B, áp dụng đến hết ngày 31/12/2026)</w:t>
            </w:r>
          </w:p>
          <w:p>
            <w:pPr>
              <w:spacing w:after="0" w:before="0" w:lineRule="auto" w:line="276"/>
              <w:jc w:val="left"/>
            </w:pPr>
            <w:r>
              <w:rPr>
                <w:rFonts w:ascii="Times New Roman" w:hAnsi="Times New Roman" w:cs="Times New Roman" w:eastAsia="Times New Roman"/>
                <w:b w:val="false"/>
                <w:sz w:val="26"/>
              </w:rPr>
              <w:t>Phí : 3.000.000 Đồng</w:t>
              <w:t xml:space="preserve"> (Công bố trang thiết bị y tế loại B,áp dụng từ ngày 01/01/2027 trở đi)</w:t>
            </w:r>
          </w:p>
          <w:p>
            <w:pPr>
              <w:spacing w:after="0" w:before="0" w:lineRule="auto" w:line="276"/>
              <w:jc w:val="left"/>
            </w:pPr>
            <w:r>
              <w:rPr>
                <w:rFonts w:ascii="Times New Roman" w:hAnsi="Times New Roman" w:cs="Times New Roman" w:eastAsia="Times New Roman"/>
                <w:b w:val="false"/>
                <w:sz w:val="26"/>
              </w:rPr>
              <w:t>Phí : 500.000 Đồng</w:t>
              <w:t xml:space="preserve"> (Loại A, áp dụng đến hết ngày 31/12/2026)</w:t>
            </w:r>
          </w:p>
        </w:tc>
        <w:tc>
          <w:p/>
          <w:p>
            <w:pPr>
              <w:spacing w:after="0" w:before="0" w:lineRule="auto" w:line="276"/>
              <w:jc w:val="left"/>
            </w:pPr>
            <w:r>
              <w:rPr>
                <w:rFonts w:ascii="Times New Roman" w:hAnsi="Times New Roman" w:cs="Times New Roman" w:eastAsia="Times New Roman"/>
                <w:b w:val="false"/>
                <w:sz w:val="26"/>
              </w:rPr>
              <w:t>Thực hiện trực tuyến tại địa chỉ của Bộ Y tế: https://dmec.moh.gov.vn/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công bố tiêu chuẩn áp dụng của trang thiết bị y tế thuộc loại A, B theo Mẫu số 02 quy định tại Phụ lục I ban hành kèm theo Thông tư  số 10/2023/TT-BYT.</w:t>
            </w:r>
          </w:p>
        </w:tc>
        <w:tc>
          <w:p/>
          <w:p>
            <w:pPr>
              <w:spacing w:after="0" w:before="0" w:lineRule="auto" w:line="276"/>
              <w:jc w:val="left"/>
            </w:pPr>
            <w:r>
              <w:rPr>
                <w:rFonts w:ascii="Times New Roman" w:hAnsi="Times New Roman" w:cs="Times New Roman" w:eastAsia="Times New Roman"/>
                <w:b w:val="false"/>
                <w:sz w:val="26"/>
              </w:rPr>
              <w:t>Phụ lục I 2.1 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đạt tiêu chuẩn quản lý chất lượng ISO 13485 còn hiệu lực tại thời điểm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ủy quyền của chủ sở hữu trang thiết bị y tế cho cơ sở thực hiện việc đăng ký lưu hành theo Mẫu tại Phụ lục VI ban hành kèm theo Thông tư  19/2021/TT-BYT còn hiệu lực tại thời điểm nộp hồ sơ, trừ trường hợp quy định tại điểm a khoản 1 Điều 25 Nghị định 98/2021/NĐ-CP (Doanh nghiệp, hợp tác xã, hộ kinh doanh của Việt Nam là chủ sở hữu trang thiết bị y tế).</w:t>
            </w:r>
          </w:p>
        </w:tc>
        <w:tc>
          <w:p/>
          <w:p>
            <w:pPr>
              <w:spacing w:after="0" w:before="0" w:lineRule="auto" w:line="276"/>
              <w:jc w:val="left"/>
            </w:pPr>
            <w:r>
              <w:rPr>
                <w:rFonts w:ascii="Times New Roman" w:hAnsi="Times New Roman" w:cs="Times New Roman" w:eastAsia="Times New Roman"/>
                <w:b w:val="false"/>
                <w:sz w:val="26"/>
              </w:rPr>
              <w:t>Phụ lục II 2962QĐBYT.docx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xác nhận đủ điều kiện bảo hành quy định tại phụ lục VII ban hành kèm theo Thông tư 19/2021/TT-BYT do chủ sở hữu trang thiết bị y tế cấp, trừ trường hợp trang thiết bị y tế sử dụng một lần theo quy định của chủ sở hữu trang thiết bị y tế hoặc có tài liệu chứng minh không có chế độ bảo hành.</w:t>
            </w:r>
          </w:p>
        </w:tc>
        <w:tc>
          <w:p/>
          <w:p>
            <w:pPr>
              <w:spacing w:after="0" w:before="0" w:lineRule="auto" w:line="276"/>
              <w:jc w:val="left"/>
            </w:pPr>
            <w:r>
              <w:rPr>
                <w:rFonts w:ascii="Times New Roman" w:hAnsi="Times New Roman" w:cs="Times New Roman" w:eastAsia="Times New Roman"/>
                <w:b w:val="false"/>
                <w:sz w:val="26"/>
              </w:rPr>
              <w:t>Phụ lục III 2962QĐBYT.docx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mô tả tóm tắt kỹ thuật trang thiết bị y tế bằng tiếng Việt, kèm theo tài liệu kỹ thuật mô tả chức năng, thông số kỹ thuật của trang thiết bị y tế do chủ sở hữu trang thiết bị y tế ban hành.  Riêng đối với thuốc thử, chất hiệu chuẩn, vật liệu kiểm soát in vitro: tài liệu kỹ thuật bằng tiếng Việt kèm theo tài liệu về nguyên vật liệu, về an toàn của sản phẩm, quy trình sản xuất, các báo cáo nghiên cứu lâm sàng và tiền lâm sàng bao gồm báo cáo độ ổn định.</w:t>
            </w:r>
          </w:p>
        </w:tc>
        <w:tc>
          <w:p/>
          <w:p>
            <w:pPr>
              <w:spacing w:after="0" w:before="0" w:lineRule="auto" w:line="276"/>
              <w:jc w:val="left"/>
            </w:pPr>
            <w:r>
              <w:rPr>
                <w:rFonts w:ascii="Times New Roman" w:hAnsi="Times New Roman" w:cs="Times New Roman" w:eastAsia="Times New Roman"/>
                <w:b w:val="false"/>
                <w:sz w:val="26"/>
              </w:rPr>
              <w:t>Phụ lục IV 2962QĐBYT.docx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hợp chuẩn theo quy định hoặc bản tiêu chuẩn sản phẩm do chủ sở hữu trang thiết bị y tế công bố. Riêng đối với trang thiết bị y tế sản xuất trong nước bổ sung kết quả đánh giá các thông số hóa, lý, vi sinh và các thông số khác do cơ sở đủ điều kiện theo quy định của pháp luật về đánh giá sự phù hợp cấp hoặc Giấy chứng nhận đánh giá chất lượng do cơ quan có thẩm quyền của Việt Nam cấp đối với trang thiết bị y tế chẩn đoán in vitro. Kết quả đánh giá phải phù hợp với tiêu chuẩn mà chủ sở hữu trang thiết bị y tế công bố.</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hướng dẫn sử dụng của trang thiết bị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Mẫu nhãn sẽ sử dụng khi lưu hành tại Việt Nam của trang thiết bị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lưu hành tự do còn hiệu lực tại thời điểm nộp hồ sơ đối với trang thiết bị y tế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(Yêu cầu đối với một số giấy tờ trong bộ hồ sơ  a) Đối với Giấy chứng nhận đạt tiêu chuẩn quản lý chất lượng: Nộp bản gốc hoặc bản sao có chứng thực hoặc bản sao có xác nhận của tổ chức đứng tên công bố tiêu chuẩn áp dụng. Trường hợp Giấy chứng nhận đạt tiêu chuẩn quản lý chất lượng không  bằng tiếng Anh hoặc không bằng tiếng Việt thì phải dịch ra tiếng Việt. Bản dịch phải được chứng thực theo quy định của pháp luật. b) Đối với giấy ủy quyền của chủ sở hữu trang thiết bị y tế và giấy xác nhận cơ sở đủ điều kiện bảo hành:  - Đối với trang thiết bị y tế sản xuất trong nước: Nộp bản gốc hoặc bản sao có chứng thực; - Đối với trang thiết bị y tế nhập khẩu: Nộp bản đã được hợp pháp hóa lãnh sự hoặc bản sao có chứng thực của bản đã được hợp pháp hóa lãnh sự. c) Đối với Giấy chứng nhận hợp chuẩn hoặc Bản tiêu chuẩn mà chủ sở hữu trang thiết bị y tế công bố áp dụng: Nộp bản gốc hoặc bản sao có xác nhận của tổ chức đứng tên công bố tiêu chuẩn áp dụng. Trường hợp Bản tiêu chuẩn không bằng tiếng Anh hoặc không bằng tiếng Việt thì phải dịch ra tiếng Việt. Bản dịch phải được chứng thực theo quy định của pháp luật. d) Đối với tài liệu hướng dẫn sử dụng của trang thiết bị y tế: Nộp bản bằng tiếng Việt có xác nhận của tổ chức đứng tên công bố tiêu chuẩn áp dụng, kèm theo bản gốc bằng tiếng Anh do chủ sở hữu trang thiết bị y tế ban hành đối với trang thiết bị y tế nhập khẩu. Trường hợp tài liệu hướng dẫn sử dụng không bằng tiếng Anh hoặc không bằng tiếng Việt thì phải dịch ra tiếng Việt. Bản dịch phải được chứng thực theo quy định của pháp luật. đ) Đối với mẫu nhãn: Nộp bản mẫu nhãn có xác nhận của tổ chức đứng tên công bố tiêu chuẩn áp dụng. Mẫu nhãn phải đáp ứng các yêu cầu theo quy định của pháp luật về nhãn hàng hóa. e) Đối với giấy chứng nhận lưu hành tự do: Nộp bản đã được hợp pháp hóa lãnh sự hoặc bản sao có chứng thực của bản đã được hợp pháp hóa lãnh sự. Trường hợp giấy chứng nhận lưu hành tự do không bằng tiếng Anh hoặc không bằng tiếng Việt thì phải dịch ra tiếng Việt. Bản dịch phải được chứng thực theo quy định của pháp luật. g) Đối với bản kết quả đánh giá các thông số hóa, lý, vi sinh và các thông số khác do cơ sở đủ điều kiện theo quy định của pháp luật về đánh giá sự phù hợp cấp hoặc Giấy chứng nhận đánh giá chất lượng do cơ quan có thẩm quyền của Việt Nam cấp đối với trang thiết bị y tế chẩn đoán in vitro: Nộp bản gốc hoặc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Y tế Thanh Hóa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Y tế tỉnh Thanh Hóa qua Hệ thống dịch vụ công trực tuyến về quản lý trang thiết bị y tế tại địa chỉ: https://dmec.moh.gov.vn/;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khai trên Cổng thông tin điện tử về quản lý trang thiết bị y tế các thông tin và hồ sơ công bố</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Thông tư số 43/2024/TT-BTC</w:t>
            </w:r>
          </w:p>
        </w:tc>
        <w:tc>
          <w:p/>
          <w:p>
            <w:pPr>
              <w:spacing w:after="0" w:before="0" w:lineRule="auto" w:line="276"/>
              <w:jc w:val="left"/>
            </w:pPr>
            <w:r>
              <w:rPr>
                <w:rFonts w:ascii="Times New Roman" w:hAnsi="Times New Roman" w:cs="Times New Roman" w:eastAsia="Times New Roman"/>
                <w:b w:val="false"/>
                <w:sz w:val="26"/>
              </w:rPr>
              <w:t>của Bộ Tài chính: Quy định mức thu một số khoản phí, lệ phí nhằm tiếp tục tháo gỡ khó khăn, hỗ trợ cho hoạt động sản xuất kinh doanh</w:t>
            </w:r>
          </w:p>
        </w:tc>
        <w:tc>
          <w:p/>
          <w:p>
            <w:pPr>
              <w:spacing w:after="0" w:before="0" w:lineRule="auto" w:line="276"/>
              <w:jc w:val="left"/>
            </w:pPr>
            <w:r>
              <w:rPr>
                <w:rFonts w:ascii="Times New Roman" w:hAnsi="Times New Roman" w:cs="Times New Roman" w:eastAsia="Times New Roman"/>
                <w:b w:val="false"/>
                <w:sz w:val="26"/>
              </w:rPr>
              <w:t>28-06-2024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98/2021/NĐ-CP</w:t>
            </w:r>
          </w:p>
        </w:tc>
        <w:tc>
          <w:p/>
          <w:p>
            <w:pPr>
              <w:spacing w:after="0" w:before="0" w:lineRule="auto" w:line="276"/>
              <w:jc w:val="left"/>
            </w:pPr>
            <w:r>
              <w:rPr>
                <w:rFonts w:ascii="Times New Roman" w:hAnsi="Times New Roman" w:cs="Times New Roman" w:eastAsia="Times New Roman"/>
                <w:b w:val="false"/>
                <w:sz w:val="26"/>
              </w:rPr>
              <w:t>Nghị định về trang thiết bị y tế số 98/2021/NĐ-CP  (link trên thư viện pl vì trên cơ sở dữ liệu về văn bản QPPL ko có)</w:t>
            </w:r>
          </w:p>
        </w:tc>
        <w:tc>
          <w:p/>
          <w:p>
            <w:pPr>
              <w:spacing w:after="0" w:before="0" w:lineRule="auto" w:line="276"/>
              <w:jc w:val="left"/>
            </w:pPr>
            <w:r>
              <w:rPr>
                <w:rFonts w:ascii="Times New Roman" w:hAnsi="Times New Roman" w:cs="Times New Roman" w:eastAsia="Times New Roman"/>
                <w:b w:val="false"/>
                <w:sz w:val="26"/>
              </w:rPr>
              <w:t>08-11-2021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19/2021/TT-BYT</w:t>
            </w:r>
          </w:p>
        </w:tc>
        <w:tc>
          <w:p/>
          <w:p>
            <w:pPr>
              <w:spacing w:after="0" w:before="0" w:lineRule="auto" w:line="276"/>
              <w:jc w:val="left"/>
            </w:pPr>
            <w:r>
              <w:rPr>
                <w:rFonts w:ascii="Times New Roman" w:hAnsi="Times New Roman" w:cs="Times New Roman" w:eastAsia="Times New Roman"/>
                <w:b w:val="false"/>
                <w:sz w:val="26"/>
              </w:rPr>
              <w:t>Thông tư 19/2021/TT-BYT quy định về mẫu văn bản, báo cáo thực hiện Nghị định 98/2021/NĐ-CP về quản lý trang thiết bị y tế do Bộ trưởng Bộ Y tế ban hành (link lấy từ thuvienphapluat.vn vì cơ sở dữ liệu về văn bản qppl ko có)</w:t>
            </w:r>
          </w:p>
        </w:tc>
        <w:tc>
          <w:p/>
          <w:p>
            <w:pPr>
              <w:spacing w:after="0" w:before="0" w:lineRule="auto" w:line="276"/>
              <w:jc w:val="left"/>
            </w:pPr>
            <w:r>
              <w:rPr>
                <w:rFonts w:ascii="Times New Roman" w:hAnsi="Times New Roman" w:cs="Times New Roman" w:eastAsia="Times New Roman"/>
                <w:b w:val="false"/>
                <w:sz w:val="26"/>
              </w:rPr>
              <w:t>16-11-2021</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07/2023/NĐ-CP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03-03-2023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10/2023/TT-BYT</w:t>
            </w:r>
          </w:p>
        </w:tc>
        <w:tc>
          <w:p/>
          <w:p>
            <w:pPr>
              <w:spacing w:after="0" w:before="0" w:lineRule="auto" w:line="276"/>
              <w:jc w:val="left"/>
            </w:pPr>
            <w:r>
              <w:rPr>
                <w:rFonts w:ascii="Times New Roman" w:hAnsi="Times New Roman" w:cs="Times New Roman" w:eastAsia="Times New Roman"/>
                <w:b w:val="false"/>
                <w:sz w:val="26"/>
              </w:rPr>
              <w:t>Thông tư 10/2023/TT-BYT sửa đổi Thông tư 19/2021/TT-BYT</w:t>
            </w:r>
          </w:p>
        </w:tc>
        <w:tc>
          <w:p/>
          <w:p>
            <w:pPr>
              <w:spacing w:after="0" w:before="0" w:lineRule="auto" w:line="276"/>
              <w:jc w:val="left"/>
            </w:pPr>
            <w:r>
              <w:rPr>
                <w:rFonts w:ascii="Times New Roman" w:hAnsi="Times New Roman" w:cs="Times New Roman" w:eastAsia="Times New Roman"/>
                <w:b w:val="false"/>
                <w:sz w:val="26"/>
              </w:rPr>
              <w:t>11-05-2023</w:t>
            </w:r>
          </w:p>
        </w:tc>
        <w:tc>
          <w:p/>
          <w:p>
            <w:pPr>
              <w:spacing w:after="0" w:before="0" w:lineRule="auto" w:line="276"/>
              <w:jc w:val="left"/>
            </w:pPr>
            <w:r>
              <w:rPr>
                <w:rFonts w:ascii="Times New Roman" w:hAnsi="Times New Roman" w:cs="Times New Roman" w:eastAsia="Times New Roman"/>
                <w:b w:val="false"/>
                <w:sz w:val="26"/>
              </w:rPr>
              <w:t>Bộ trưởng Bộ Y tế</w:t>
            </w:r>
          </w:p>
        </w:tc>
      </w:tr>
      <w:tr>
        <w:tc>
          <w:p/>
          <w:p>
            <w:pPr>
              <w:spacing w:after="0" w:before="0" w:lineRule="auto" w:line="276"/>
              <w:jc w:val="left"/>
            </w:pPr>
            <w:r>
              <w:rPr>
                <w:rFonts w:ascii="Times New Roman" w:hAnsi="Times New Roman" w:cs="Times New Roman" w:eastAsia="Times New Roman"/>
                <w:b w:val="false"/>
                <w:sz w:val="26"/>
              </w:rPr>
              <w:t>59/2023/TT- BTC</w:t>
            </w:r>
          </w:p>
        </w:tc>
        <w:tc>
          <w:p/>
          <w:p>
            <w:pPr>
              <w:spacing w:after="0" w:before="0" w:lineRule="auto" w:line="276"/>
              <w:jc w:val="left"/>
            </w:pPr>
            <w:r>
              <w:rPr>
                <w:rFonts w:ascii="Times New Roman" w:hAnsi="Times New Roman" w:cs="Times New Roman" w:eastAsia="Times New Roman"/>
                <w:b w:val="false"/>
                <w:sz w:val="26"/>
              </w:rPr>
              <w:t>Thông tư số 59/2023/TT- BTC ngày 30/8/2023 của Bộ trưởng Bộ Tài chính về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25 Nghị định số 98/2021/NĐ-CP Điều kiện của tổ chức được đứng tên công bố tiêu chuẩn áp dụng hoặc đăng ký lưu hành trang thiết bị y tế
1. Tổ chức được đứng tên công bố tiêu chuẩn áp dụng hoặc đăng ký lưu hành trang thiết bị y tế bao gồm:
a) Doanh nghiệp, hợp tác xã, hộ kinh doanh của Việt Nam là chủ sở hữu trang thiết bị y tế;
b) Doanh nghiệp, hợp tác xã, hộ kinh doanh của Việt Nam được ủy quyền của chủ sở hữu trang thiết bị y tế;
c) Văn phòng đại diện thường trú tại Việt Nam của thương nhân nước ngoài mà thương nhân đó là chủ sở hữu trang thiết bị y tế hoặc được ủy quyền của chủ sở hữu trang thiết bị y tế.
2. Tổ chức đứng tên công bố tiêu chuẩn áp dụng hoặc đăng ký lưu hành trang thiết bị y tế phải có cơ sở bảo hành tại Việt Nam hoặc phải có hợp đồng với tổ chức đủ năng lực bảo hành trang thiết bị y tế, trừ trường hợp các trang thiết bị y tế sử dụng một lần theo quy định của chủ sở hữu trang thiết bị y tế hoặc có tài liệu chứng minh không có chế độ bảo hành.
Trường hợp tổ chức đứng tên công bố tiêu chuẩn áp dụng hoặc đăng ký lưu hành trang thiết bị y tế thuộc quy định tại điểm c khoản 1 Điều này thì chủ sở hữu trang thiết bị y tế phải có cơ sở bảo hành tại Việt Nam hoặc phải có hợp đồng với cơ sở đủ năng lực bảo hành trang thiết bị y tế, trừ trường hợp các trang thiết bị y tế sử dụng một lần theo quy định của chủ sở hữu trang thiết bị y tế hoặc có tài liệu chứng minh không có chế độ bảo hành.
Cơ sở bảo hành phải được chủ sở hữu trang thiết bị y tế chứng nhận đủ năng lực bảo hành sản phẩm.
số lưu hành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2026-05-28T17:48:14Z</dcterms:created>
  <dc:creator>Apache POI</dc:creator>
</cp:coreProperties>
</file>