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sinh vào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giáo dục và đào tạo lập kế hoạch tuyển sinh đối với trường PTDTNT cấp tỉnh và trường PTDTNT cấp huyện (có cấp THPT), trình ủy ban nhân dân cấp tỉnh phê duyệt;</w:t>
      </w:r>
    </w:p>
    <w:p>
      <w:pPr>
        <w:spacing w:after="0" w:before="0" w:lineRule="auto" w:line="276"/>
        <w:jc w:val="both"/>
      </w:pPr>
      <w:r>
        <w:rPr>
          <w:rFonts w:ascii="Times New Roman" w:hAnsi="Times New Roman" w:cs="Times New Roman" w:eastAsia="Times New Roman"/>
          <w:b w:val="false"/>
          <w:sz w:val="26"/>
        </w:rPr>
        <w:t>Phòng giáo dục và đào tạo lập kế hoạch tuyển sinh đối với trường PTDTNT cấp huyện chỉ đào tạo cấp THCS, trình ủy ban nhân dân cấp huyện phê duyệt;
Kế hoạch tuyển sinh gồm các nội dung chính sau: đối tượng; địa bàn; chỉ tiêu; phương thức tuyển sinh; tuyển thẳng và chế độ ưu tiên, khuyến khích; tổ chức công tác tuyển sinh.</w:t>
      </w:r>
    </w:p>
    <w:p>
      <w:pPr>
        <w:spacing w:after="0" w:before="0" w:lineRule="auto" w:line="276"/>
        <w:jc w:val="both"/>
      </w:pPr>
      <w:r>
        <w:rPr>
          <w:rFonts w:ascii="Times New Roman" w:hAnsi="Times New Roman" w:cs="Times New Roman" w:eastAsia="Times New Roman"/>
          <w:b w:val="false"/>
          <w:sz w:val="26"/>
        </w:rPr>
        <w:t>Sở giáo dục và đào tạo tổ chức công tác tuyển sinh đối với trường PTDTNT cấp tỉnh và trường PTDTNT cấp huyện (có cấp THPT);</w:t>
      </w:r>
    </w:p>
    <w:p>
      <w:pPr>
        <w:spacing w:after="0" w:before="0" w:lineRule="auto" w:line="276"/>
        <w:jc w:val="both"/>
      </w:pPr>
      <w:r>
        <w:rPr>
          <w:rFonts w:ascii="Times New Roman" w:hAnsi="Times New Roman" w:cs="Times New Roman" w:eastAsia="Times New Roman"/>
          <w:b w:val="false"/>
          <w:sz w:val="26"/>
        </w:rPr>
        <w:t xml:space="preserve"> Phòng giáo dục và đào tạo tổ chức công tác tuyển sinh đối với trường PTDTNT cấp huyện đào tạo cấp THCS sau khi kế hoạch tuyển sinh được cấp có thẩm quyền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Đồng</w:t>
              <w:t xml:space="preserve"> (- Đối với tuyển sinh vào trường THPT DTNT: Mức thu dịch vụ phục vụ, hỗ trợ hoạt động giáo dục của nhà trường đối với các cơ sở giáo dục công lập trên địa bàn tỉnh Thanh Hóa, gồm:  - Thi tuyển sinh vào lớp 10: 100.000 đồng/hs/01môn. - Thi tuyển sinh vào Trường THPT chuyên  Lam Sơn: 280.000 đồng/hs/01 môn chuyên; 100.000 đồng/hs/01 môn không chuyên.  - Lộ trình thu cụ thể như sau: + Năm học 2023 - 2024: thu 70%, NSNN cân đối 30%. + Năm học 2024 - 2025: thu 80%, NSNN cân đối 20%. + Năm học 2025 - 2026: thu 90%, NSNN cân đối 10%. + Năm học 2026 - 2027 trở đi: thu 100%.)</w:t>
            </w:r>
          </w:p>
          <w:p>
            <w:pPr>
              <w:spacing w:after="0" w:before="0" w:lineRule="auto" w:line="276"/>
              <w:jc w:val="left"/>
            </w:pPr>
            <w:r>
              <w:rPr>
                <w:rFonts w:ascii="Times New Roman" w:hAnsi="Times New Roman" w:cs="Times New Roman" w:eastAsia="Times New Roman"/>
                <w:b w:val="false"/>
                <w:sz w:val="26"/>
              </w:rPr>
              <w:t>Phí : 25.000 Đồng</w:t>
              <w:t xml:space="preserve"> (Mức thu dịch vụ phục vụ, hỗ trợ hoạt động giáo dục của nhà trường đối với các cơ sở giáo dục công lập trên địa bàn tỉnh Thanh Hóa đối với xét tuyển  hồ sơ các lớp đầu cấp (Mầm non, Tiểu học, THCS, lớp 10 chương trình Giáo dục thường xuyên): 25.000đ/học sinh/đợt xét)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Đồng</w:t>
              <w:t xml:space="preserve"> (- Đối với tuyển sinh vào trường THPT DTNT: Mức thu dịch vụ phục vụ, hỗ trợ hoạt động giáo dục của nhà trường đối với các cơ sở giáo dục công lập trên địa bàn tỉnh Thanh Hóa, gồm:  - Thi tuyển sinh vào lớp 10: 100.000 đồng/hs/01môn. - Thi tuyển sinh vào Trường THPT chuyên  Lam Sơn: 280.000 đồng/hs/01 môn chuyên; 100.000 đồng/hs/01 môn không chuyên.  - Lộ trình thu cụ thể như sau: + Năm học 2023 - 2024: thu 70%, NSNN cân đối 30%. + Năm học 2024 - 2025: thu 80%, NSNN cân đối 20%. + Năm học 2025 - 2026: thu 90%, NSNN cân đối 10%. + Năm học 2026 - 2027 trở đi: thu 100%.)</w:t>
            </w:r>
          </w:p>
          <w:p>
            <w:pPr>
              <w:spacing w:after="0" w:before="0" w:lineRule="auto" w:line="276"/>
              <w:jc w:val="left"/>
            </w:pPr>
            <w:r>
              <w:rPr>
                <w:rFonts w:ascii="Times New Roman" w:hAnsi="Times New Roman" w:cs="Times New Roman" w:eastAsia="Times New Roman"/>
                <w:b w:val="false"/>
                <w:sz w:val="26"/>
              </w:rPr>
              <w:t>Phí : 25.000 Đồng</w:t>
              <w:t xml:space="preserve"> (- Mức thu dịch vụ phục vụ, hỗ trợ hoạt động giáo dục của nhà trường đối với các cơ sở giáo dục công lập trên địa bàn tỉnh Thanh Hóa đối với xét tuyển  hồ sơ các lớp đầu cấp (Mầm non, Tiểu học, THCS, lớp 10 chương trình Giáo dục thường xuyên): 25.000đ/học sinh/đợt xét)</w:t>
            </w:r>
          </w:p>
        </w:tc>
        <w:tc>
          <w:p/>
          <w:p>
            <w:pPr>
              <w:spacing w:after="0" w:before="0" w:lineRule="auto" w:line="276"/>
              <w:jc w:val="left"/>
            </w:pPr>
            <w:r>
              <w:rPr>
                <w:rFonts w:ascii="Times New Roman" w:hAnsi="Times New Roman" w:cs="Times New Roman" w:eastAsia="Times New Roman"/>
                <w:b w:val="false"/>
                <w:sz w:val="26"/>
              </w:rPr>
              <w:t>- Qua Hệ thống dịch vụ công trực tuyến (toàn trình) tại địa chỉ: https://dichvucong.thanhhoa.gov.vn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25.000 Đồng</w:t>
              <w:t xml:space="preserve"> (- Mức thu dịch vụ phục vụ, hỗ trợ hoạt động giáo dục của nhà trường đối với các cơ sở giáo dục công lập trên địa bàn tỉnh Thanh Hóa đối với xét tuyển  hồ sơ các lớp đầu cấp (Mầm non, Tiểu học, THCS, lớp 10 chương trình Giáo dục thường xuyên): 25.000đ/học sinh/đợt xét)</w:t>
            </w:r>
          </w:p>
          <w:p>
            <w:pPr>
              <w:spacing w:after="0" w:before="0" w:lineRule="auto" w:line="276"/>
              <w:jc w:val="left"/>
            </w:pPr>
            <w:r>
              <w:rPr>
                <w:rFonts w:ascii="Times New Roman" w:hAnsi="Times New Roman" w:cs="Times New Roman" w:eastAsia="Times New Roman"/>
                <w:b w:val="false"/>
                <w:sz w:val="26"/>
              </w:rPr>
              <w:t>Phí :  Đồng</w:t>
              <w:t xml:space="preserve"> (- Đối với tuyển sinh vào trường THPT DTNT: Mức thu dịch vụ phục vụ, hỗ trợ hoạt động giáo dục của nhà trường đối với các cơ sở giáo dục công lập trên địa bàn tỉnh Thanh Hóa, gồm:  - Thi tuyển sinh vào lớp 10: 100.000 đồng/hs/01môn. - Thi tuyển sinh vào Trường THPT chuyên  Lam Sơn: 280.000 đồng/hs/01 môn chuyên; 100.000 đồng/hs/01 môn không chuyên.  - Lộ trình thu cụ thể như sau: + Năm học 2023 - 2024: thu 70%, NSNN cân đối 30%. + Năm học 2024 - 2025: thu 80%, NSNN cân đối 20%. + Năm học 2025 - 2026: thu 90%, NSNN cân đối 10%. + Năm học 2026 - 2027 trở đi: thu 100%.)</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Tuyển sinh trung học cơ sở và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cấp tiểu học hoặc các hồ sơ khác có giá trị thay thế 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chụp/photo kèm bản chính để đối chiếu bằng tốt nghiệp trung học cơ sở hoặc giấy chứng nhận tốt nghiệp trung học cơ sở tạm thờ</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Chủ tịch Ủy ban nhân dân cấp xã,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Trường THPT DTNT nơi học sinh đăng ký dự thi hoặc tại Phòng Giáo dục và Đào tạo nơi học sinh thường trú (Đối với tuyển sinh vào trường THPT DTNT); - Trường THCS DTNT nơi học sinh đăng ký xét tuyển (Đối với tuyển sinh vào trường THCS DTNT); - Qua Hệ thống dịch vụ công trực tuyến (toàn trình) tại địa chỉ: 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được tuyển vào học tại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01/2016/TT-BGDĐT</w:t>
            </w:r>
          </w:p>
        </w:tc>
        <w:tc>
          <w:p/>
          <w:p>
            <w:pPr>
              <w:spacing w:after="0" w:before="0" w:lineRule="auto" w:line="276"/>
              <w:jc w:val="left"/>
            </w:pPr>
            <w:r>
              <w:rPr>
                <w:rFonts w:ascii="Times New Roman" w:hAnsi="Times New Roman" w:cs="Times New Roman" w:eastAsia="Times New Roman"/>
                <w:b w:val="false"/>
                <w:sz w:val="26"/>
              </w:rPr>
              <w:t>Thông tư 01/2016/TT-BGDĐT</w:t>
            </w:r>
          </w:p>
        </w:tc>
        <w:tc>
          <w:p/>
          <w:p>
            <w:pPr>
              <w:spacing w:after="0" w:before="0" w:lineRule="auto" w:line="276"/>
              <w:jc w:val="left"/>
            </w:pPr>
            <w:r>
              <w:rPr>
                <w:rFonts w:ascii="Times New Roman" w:hAnsi="Times New Roman" w:cs="Times New Roman" w:eastAsia="Times New Roman"/>
                <w:b w:val="false"/>
                <w:sz w:val="26"/>
              </w:rPr>
              <w:t>15-01-2016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04/2023/TT-BGDĐT</w:t>
            </w:r>
          </w:p>
        </w:tc>
        <w:tc>
          <w:p/>
          <w:p>
            <w:pPr>
              <w:spacing w:after="0" w:before="0" w:lineRule="auto" w:line="276"/>
              <w:jc w:val="left"/>
            </w:pPr>
            <w:r>
              <w:rPr>
                <w:rFonts w:ascii="Times New Roman" w:hAnsi="Times New Roman" w:cs="Times New Roman" w:eastAsia="Times New Roman"/>
                <w:b w:val="false"/>
                <w:sz w:val="26"/>
              </w:rPr>
              <w:t>Thông tư 04/2023/TT-BGDĐT</w:t>
            </w:r>
          </w:p>
        </w:tc>
        <w:tc>
          <w:p/>
          <w:p>
            <w:pPr>
              <w:spacing w:after="0" w:before="0" w:lineRule="auto" w:line="276"/>
              <w:jc w:val="left"/>
            </w:pPr>
            <w:r>
              <w:rPr>
                <w:rFonts w:ascii="Times New Roman" w:hAnsi="Times New Roman" w:cs="Times New Roman" w:eastAsia="Times New Roman"/>
                <w:b w:val="false"/>
                <w:sz w:val="26"/>
              </w:rPr>
              <w:t>23-02-2023</w:t>
            </w:r>
          </w:p>
        </w:tc>
        <w:tc>
          <w:p/>
        </w:tc>
      </w:tr>
      <w:tr>
        <w:tc>
          <w:p/>
          <w:p>
            <w:pPr>
              <w:spacing w:after="0" w:before="0" w:lineRule="auto" w:line="276"/>
              <w:jc w:val="left"/>
            </w:pPr>
            <w:r>
              <w:rPr>
                <w:rFonts w:ascii="Times New Roman" w:hAnsi="Times New Roman" w:cs="Times New Roman" w:eastAsia="Times New Roman"/>
                <w:b w:val="false"/>
                <w:sz w:val="26"/>
              </w:rPr>
              <w:t>286/2022/NQ-HĐND</w:t>
            </w:r>
          </w:p>
        </w:tc>
        <w:tc>
          <w:p/>
          <w:p>
            <w:pPr>
              <w:spacing w:after="0" w:before="0" w:lineRule="auto" w:line="276"/>
              <w:jc w:val="left"/>
            </w:pPr>
            <w:r>
              <w:rPr>
                <w:rFonts w:ascii="Times New Roman" w:hAnsi="Times New Roman" w:cs="Times New Roman" w:eastAsia="Times New Roman"/>
                <w:b w:val="false"/>
                <w:sz w:val="26"/>
              </w:rPr>
              <w:t>Quy định mức thu tối đa các khoản thu dịch vụ phục vụ, hỗ trợ hoạt động giáo dục của nhà trường đối với các cơ sở giáo dục công lập trên địa bàn tỉnh Thanh Hóa</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Thuộc đối tượng tuyển sinh quy định tại Điều 9 của Quy chế tổ chức và hoạt động của trường phổ thông dân tộc nội trú ban hành kèm theo Thông tư số 04/2023/TT-BGDĐT ngày 23 tháng 02 năm 2023 của Bộ trưởng Bộ Giáo dục và Đào tạo;
b) Đảm bảo các quy định tại Quy chế tuyển sinh trung học cơ sở và tuyển sinh trung học phổ thông do Bộ Giáo dục và Đào tạo ban hành.
c) Tuyển thẳng vào trường PTDTNT các đối tượng sau:
- Học sinh dân tộc thiểu số rất ít người quy định tại Nghị định số 57/2017/NĐ-CP ngày 09 tháng 5 năm 2017 của Chính phủ. ;
- Học sinh trung học cơ sở thuộc đối tượng quy định tại Điều 9 của Quy chế này đạt giải cấp quốc gia do Bộ Giáo dục và Đào tạo tổ chức hoặc phối hợp với các Bộ và cơ quan ngang bộ tổ chức trên quy mô toàn quốc đối với các cuộc thi, kì thi, hội thi (sau đây gọi chung là cuộc thi) về văn hóa, văn nghệ, thể thao, cuộc thi nghiên cứu khoa học, kỹ thuật; đạt giải cuộc thi quốc tế do Bộ trưởng Bộ Giáo dục và Đào tạo quyết định chọn cử”;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2026-05-01T08:24:58Z</dcterms:created>
  <dc:creator>Apache POI</dc:creator>
</cp:coreProperties>
</file>