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1.000755.000.00.00.H26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chuyển từ hình thức thuê đất trả tiền hàng năm sang thuê đất trả tiền một lần cho cả thời gian thuê hoặc từ giao đất không thu tiền sử dụng đất sang hình thức thuê đất hoặc từ thuê đất sang giao đất có thu tiền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quyền sử dụng đất thuộc Phòng Tài nguyên và Môi trường hoặc cơ quan tiếp nhận hồ sơ theo quy định của Ủy ban nhân dân tỉnh, thành phố trực thuộc Trung ương.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(2)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quyền sử dụng đất.</w:t>
      </w:r>
    </w:p>
    <w:p>
      <w:pPr>
        <w:spacing w:after="0" w:before="0" w:lineRule="auto" w:line="276"/>
        <w:jc w:val="both"/>
      </w:pPr>
      <w:r>
        <w:rPr>
          <w:rFonts w:ascii="Times New Roman" w:hAnsi="Times New Roman" w:cs="Times New Roman" w:eastAsia="Times New Roman"/>
          <w:b w:val="false"/>
          <w:sz w:val="26"/>
        </w:rPr>
        <w:t>(3) Văn phòng đăng ký quyền sử dụng đất có trách nhiệm kiểm tra hồ sơ, nếu đủ điều kiện thực hiện các quyền theo quy định thì thực hiện các công việc sau đây:
- Trích đo địa chính thửa đất đối với trường hợp có thay đổi về diện tích thửa đất, tài sản gắn liền với đất hoặc trường hợp đã cấp Giấy chứng nhận nhưng chưa có bản đồ địa chính, chưa trích đo địa chính thửa đất;
- Trình cơ quan có thẩm quyền quyết định chuyển hình thức sử dụng đất theo quy định.
- Gửi thông tin địa chính cho cơ quan thuế để xác định và thông báo thu nghĩa vụ tài chính đối với trường hợp phải nộp tiền sử dụng đất, tiền thuê đất theo quy định của pháp luật;
- Xác nhận thay đổi vào Giấy chứng nhận đã cấp hoặc lập hồ sơ trình cơ quan có thẩm quyền cấp Giấy chứng nhận đối với trường hợp phải cấp lại Giấy chứng nhận theo quy định; thông báo cho người sử dụng đất ký hoặc ký lại hợp đồng thuê đất với cơ quan tài nguyên và môi trường đối với trường hợp phải thuê đất;
- Chỉnh lý, cập nhật biến động vào hồ sơ địa chính, cơ sở dữ liệu đất đai.</w:t>
      </w:r>
    </w:p>
    <w:p>
      <w:pPr>
        <w:spacing w:after="0" w:before="0" w:lineRule="auto" w:line="276"/>
        <w:jc w:val="both"/>
      </w:pPr>
      <w:r>
        <w:rPr>
          <w:rFonts w:ascii="Times New Roman" w:hAnsi="Times New Roman" w:cs="Times New Roman" w:eastAsia="Times New Roman"/>
          <w:b w:val="false"/>
          <w:sz w:val="26"/>
        </w:rPr>
        <w:t>(4) Văn phòng đăng ký quyền sử dụng đất trao Giấy chứng nhận cho người được cấp hoặc gửi Ủy ban nhân dân cấp xã để trao đối với trường hợp nộp hồ sơ tại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Lệ phí địa chính (Mức thu do Hội đồng nhân dân cấp tỉnh quyết định). )</w:t>
              <w:br/>
              <w:t>File đính kèm: VanBanGoc_77.2016.NQ.HDND..pdf</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cấp quyền sử dụng đất (Mức thu do Hội đồng nhân dân cấp tỉnh quyết định). )</w:t>
              <w:br/>
              <w:t>File đính kèm: VanBanGoc_61.2016.NQ.HDND.pdf</w:t>
            </w:r>
          </w:p>
        </w:tc>
        <w:tc>
          <w:p/>
          <w:p>
            <w:pPr>
              <w:spacing w:after="0" w:before="0" w:lineRule="auto" w:line="276"/>
              <w:jc w:val="left"/>
            </w:pPr>
            <w:r>
              <w:rPr>
                <w:rFonts w:ascii="Times New Roman" w:hAnsi="Times New Roman" w:cs="Times New Roman" w:eastAsia="Times New Roman"/>
                <w:b w:val="false"/>
                <w:sz w:val="26"/>
              </w:rPr>
              <w:t>Do Ủy ban nhân dân cấp tỉnh quy định nhưng không quá 30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đất đã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số Giấy chứng minh nhân dân, số thẻ Căn cước công dân, số định danh cá nhân,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Kho bạc nhà nước các cấp,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2026-05-07T05:25:40Z</dcterms:created>
  <dc:creator>Apache POI</dc:creator>
</cp:coreProperties>
</file>