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2.000381.000.00.00.H26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4135/QĐ-UBND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giao đất, cho thuê đất cho hộ gia đình, cá nhân; giao đất cho cộng đồng dân cư đối với trường hợp giao đất, cho thuê đất không thông qua hình thức đấu giá quyền sử dụng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Phòng Tài nguyên và Môi trường hướng dẫn người xin giao đất, thuê đất lập hồ sơ xin giao đất, thuê đất; thực hiện nghĩa vụ tài chính.</w:t>
      </w:r>
    </w:p>
    <w:p>
      <w:pPr>
        <w:spacing w:after="0" w:before="0" w:lineRule="auto" w:line="276"/>
        <w:jc w:val="both"/>
      </w:pPr>
      <w:r>
        <w:rPr>
          <w:rFonts w:ascii="Times New Roman" w:hAnsi="Times New Roman" w:cs="Times New Roman" w:eastAsia="Times New Roman"/>
          <w:b w:val="false"/>
          <w:sz w:val="26"/>
        </w:rPr>
        <w:t>(2) Phòng Tài nguyên và Môi trường có trách nhiệm gửi văn bản đề nghị xác nhận đến Ủy ban nhân dân cấp xã nơi đăng ký hộ khẩu thường trú của hộ gia đình, cá nhân trực tiếp sản xuất nông nghiệp có nguồn thu nhập ổn định từ sản xuất nông nghiệp
Trường hợp hộ gia đình, cá nhân sử dụng đất không cùng nơi đăng ký hộ khẩu thường trú thì phòng Tài nguyên và Môi trường có văn bản gửi Ủy ban nhân dân cấp xã nơi đăng ký hộ khẩu thường trú và Ủy ban nhân dân cấp xã nơi có đất đề nghị xác nhận theo quy định.
Ủy ban nhân dân cấp xã nơi có đất có trách nhiệm gửi văn bản xác nhận cho Ủy ban nhân dân cấp xã nơi đăng ký hộ khẩu thường trú của hộ gia đình, cá nhân đó.</w:t>
      </w:r>
    </w:p>
    <w:p>
      <w:pPr>
        <w:spacing w:after="0" w:before="0" w:lineRule="auto" w:line="276"/>
        <w:jc w:val="both"/>
      </w:pPr>
      <w:r>
        <w:rPr>
          <w:rFonts w:ascii="Times New Roman" w:hAnsi="Times New Roman" w:cs="Times New Roman" w:eastAsia="Times New Roman"/>
          <w:b w:val="false"/>
          <w:sz w:val="26"/>
        </w:rPr>
        <w:t>(3) Phòng Tài nguyên và Môi trường trình Ủy ban nhân dân cấp huyện quyết định giao đất, cho thuê đất; ký hợp đồng thuê đất đối với trường hợp thuê đất.</w:t>
      </w:r>
    </w:p>
    <w:p>
      <w:pPr>
        <w:spacing w:after="0" w:before="0" w:lineRule="auto" w:line="276"/>
        <w:jc w:val="both"/>
      </w:pPr>
      <w:r>
        <w:rPr>
          <w:rFonts w:ascii="Times New Roman" w:hAnsi="Times New Roman" w:cs="Times New Roman" w:eastAsia="Times New Roman"/>
          <w:b w:val="false"/>
          <w:sz w:val="26"/>
        </w:rPr>
        <w:t>(4) Người được giao đất theo hình thức giao đất có thu tiền sử dụng đất nộp tiền sử dụng đất, người được thuê đất nộp tiền thuê đất.</w:t>
      </w:r>
    </w:p>
    <w:p>
      <w:pPr>
        <w:spacing w:after="0" w:before="0" w:lineRule="auto" w:line="276"/>
        <w:jc w:val="both"/>
      </w:pPr>
      <w:r>
        <w:rPr>
          <w:rFonts w:ascii="Times New Roman" w:hAnsi="Times New Roman" w:cs="Times New Roman" w:eastAsia="Times New Roman"/>
          <w:b w:val="false"/>
          <w:sz w:val="26"/>
        </w:rPr>
        <w:t>(5) Phòng Tài nguyên và Môi trường trình Ủy ban nhân dân cấp huyện cấp Giấy chứng nhận quyền sử dụng đất, quyền sở hữu nhà ở và tài sản khác gắn liền với đất.</w:t>
      </w:r>
    </w:p>
    <w:p>
      <w:pPr>
        <w:spacing w:after="0" w:before="0" w:lineRule="auto" w:line="276"/>
        <w:jc w:val="both"/>
      </w:pPr>
      <w:r>
        <w:rPr>
          <w:rFonts w:ascii="Times New Roman" w:hAnsi="Times New Roman" w:cs="Times New Roman" w:eastAsia="Times New Roman"/>
          <w:b w:val="false"/>
          <w:sz w:val="26"/>
        </w:rPr>
        <w:t>(6) Phòng Tài nguyên và Môi trường tổ chức giao đất trên thực địa và trao Giấy chứng nhận quyền sử dụng đất, quyền sở hữu nhà ở và tài sản khác gắn liền với đất cho người được giao đất, cho thuê đất.</w:t>
      </w:r>
    </w:p>
    <w:p>
      <w:pPr>
        <w:spacing w:after="0" w:before="0" w:lineRule="auto" w:line="276"/>
        <w:jc w:val="both"/>
      </w:pPr>
      <w:r>
        <w:rPr>
          <w:rFonts w:ascii="Times New Roman" w:hAnsi="Times New Roman" w:cs="Times New Roman" w:eastAsia="Times New Roman"/>
          <w:b w:val="false"/>
          <w:sz w:val="26"/>
        </w:rPr>
        <w:t>(7) Phòng Tài nguyên và Môi trường chỉ đạo cập nhật, chỉnh lý cơ sở dữ liệu đất đai, hồ sơ địa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nhận hồ sơ chưa đầy đủ, chưa hợp lệ thì trong thời gian không quá 03 ngày làm việc, cơ quan tiếp nhận, xử lý hồ sơ phải thông báo và hướng dẫn người nộp hồ sơ bổ sung, hoàn chỉnh hồ sơ theo quy định.
- Thời hạn giải quyết:
+ Không quá 20 ngày (không kể thời gian giải phóng mặt bằng; không kể thời gian thực hiện nghĩa vụ tài chính của người sử dụng đất).
+ Không quá 30 ngày đối với các xã miền núi, hải đảo, vùng sâu, vùng xa, vùng có điều kiện kinh tế  -  xã hội khó khăn.
Thời gian này không tính thời gian các ngày nghỉ, ngày lễ theo quy định của pháp luật; không tính thời gian tiếp nhận hồ sơ tại xã, thời gian thực hiện nghĩa vụ tài chính của người sử dụng đất; không tính thời gian xem xét xử lý đối với trường hợp sử dụng đất có vi phạm pháp luật, thời gian trưng cầu giám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xin giao đất, cho thuê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Trích lục bản đồ địa chính thửa đất hoặc trích đo địa chính thửa đất (Phòng tài nguyên và môi trường có trách nhiệm cung cấp trích lục bản đồ địa chính thửa đất đối với những nơi đã có bản đồ địa chính hoặc thực hiện trích đo địa chính thửa đất theo yêu cầu của người xin giao đất, thuê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thẩm định nhu cầu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Tài nguyên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giao đất, Quyết định cho thuê đất, Hợp đồng cho thuê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45/2013/QH13</w:t>
            </w:r>
          </w:p>
        </w:tc>
        <w:tc>
          <w:p/>
          <w:p>
            <w:pPr>
              <w:spacing w:after="0" w:before="0" w:lineRule="auto" w:line="276"/>
              <w:jc w:val="left"/>
            </w:pPr>
            <w:r>
              <w:rPr>
                <w:rFonts w:ascii="Times New Roman" w:hAnsi="Times New Roman" w:cs="Times New Roman" w:eastAsia="Times New Roman"/>
                <w:b w:val="false"/>
                <w:sz w:val="26"/>
              </w:rPr>
              <w:t>Luật 45/2013/QH13</w:t>
            </w:r>
          </w:p>
        </w:tc>
        <w:tc>
          <w:p/>
          <w:p>
            <w:pPr>
              <w:spacing w:after="0" w:before="0" w:lineRule="auto" w:line="276"/>
              <w:jc w:val="left"/>
            </w:pPr>
            <w:r>
              <w:rPr>
                <w:rFonts w:ascii="Times New Roman" w:hAnsi="Times New Roman" w:cs="Times New Roman" w:eastAsia="Times New Roman"/>
                <w:b w:val="false"/>
                <w:sz w:val="26"/>
              </w:rPr>
              <w:t>29-11-2013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Nghị định 43/2014/NĐ-CP</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30/2014/TT-BTNMT</w:t>
            </w:r>
          </w:p>
        </w:tc>
        <w:tc>
          <w:p/>
          <w:p>
            <w:pPr>
              <w:spacing w:after="0" w:before="0" w:lineRule="auto" w:line="276"/>
              <w:jc w:val="left"/>
            </w:pPr>
            <w:r>
              <w:rPr>
                <w:rFonts w:ascii="Times New Roman" w:hAnsi="Times New Roman" w:cs="Times New Roman" w:eastAsia="Times New Roman"/>
                <w:b w:val="false"/>
                <w:sz w:val="26"/>
              </w:rPr>
              <w:t>Thông tư 30/2014/TT-BTNMT</w:t>
            </w:r>
          </w:p>
        </w:tc>
        <w:tc>
          <w:p/>
          <w:p>
            <w:pPr>
              <w:spacing w:after="0" w:before="0" w:lineRule="auto" w:line="276"/>
              <w:jc w:val="left"/>
            </w:pPr>
            <w:r>
              <w:rPr>
                <w:rFonts w:ascii="Times New Roman" w:hAnsi="Times New Roman" w:cs="Times New Roman" w:eastAsia="Times New Roman"/>
                <w:b w:val="false"/>
                <w:sz w:val="26"/>
              </w:rPr>
              <w:t>02-06-2014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01/2017/NĐ-CP</w:t>
            </w:r>
          </w:p>
        </w:tc>
        <w:tc>
          <w:p/>
          <w:p>
            <w:pPr>
              <w:spacing w:after="0" w:before="0" w:lineRule="auto" w:line="276"/>
              <w:jc w:val="left"/>
            </w:pPr>
            <w:r>
              <w:rPr>
                <w:rFonts w:ascii="Times New Roman" w:hAnsi="Times New Roman" w:cs="Times New Roman" w:eastAsia="Times New Roman"/>
                <w:b w:val="false"/>
                <w:sz w:val="26"/>
              </w:rPr>
              <w:t>Nghị định 01/2017/NĐ-CP</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2026-05-07T05:31:03Z</dcterms:created>
  <dc:creator>Apache POI</dc:creator>
</cp:coreProperties>
</file>