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1.004217.000.00.00.H56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1017/QĐ-UB</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sử dụng đất nông nghiệp của cơ sở tôn giáo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Trực tiếp
- Cơ sở tôn giáo nộp 01 bộ hồ sơ đề nghị gia hạn sử dụng đất về Sở Tài nguyên
và Môi trường.
- Sở Tài nguyên và Môi trường có trách nhiệm thẩm định nhu cầu sử dụng đất;
trường hợp đủ điều kiện để gia hạn thì trình Ủy ban nhân dân cấp tỉnh quyết định gia
hạn quyền sử dụng đất; chuyển hồ Văn phòng đăng ký đất đai thực hiện đăng ký.
- Văn phòng đăng ký đất đai thực hiện đăng ký, xác nhận gia hạn sử dụng đất
vào Giấy chứng nhận đã cấp; chỉnh lý, cập nhật biến động vào hồ sơ địa chính, cơ sở
dữ liệu đất đai; trao Giấy chứng nhận cho cơ sở tôn giáo.
- Trường hợp không đủ điều kiện được gia hạn sử dụng đất thì Sở Tài nguyên và
Môi trường thông báo cho người sử dụng đất và làm thủ tục thu hồi đất theo quy định.
b. Thực hiện thủ tục trên môi trường điện tử
Cơ quan tiếp nhận, giải quyết hồ sơ có trách nhiệm thực hiện các trình tự, thủ
tục hành chính về đất đai theo quy định của pháp luật về đất đai; trường hợp cần phải
kiểm tra, xác minh làm rõ hoặc do nguyên nhân khác mà không trả kết quả giải quyết
hồ sơ theo đúng quy định về thời gian giải quyết thủ tục hành chính về đất đai thì cơ
quan tiếp nhận hồ sơ, giải quyết thủ tục gửi thông báo bằng văn bản hoặc qua Cổng
dịch vụ công hoặc qua tin nhắn SMS cho người yêu cầu, trong đó nêu rõ lý do.
Người sử dụng đất, chủ sở hữu tài sản gắn liền với đất có trách nhiệm hoàn
thành nghĩa vụ tài chính theo quy định của pháp luật bằng hình thức trực tiếp hoặc
trực tuyến thông qua chức năng thanh toán của Cổng dịch vụ công.
Việc trả kết quả giải quyết thủ tục hành chính được thực hiện tại cơ quan tiếp
nhận hồ sơ hoặc qua dịch vụ bưu chính công ích hoặc tại địa điểm theo yêu cầu đối
với trường hợp tiếp nhận hồ sơ và trả kết quả giải quyết thủ tục đăng ký đất đai, tài
sản khác gắn liền với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Gia hạn.docx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Gia hạn.docx</w:t>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được hồ sơ hợp lệ. 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Gia hạn.docx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Gia hạn.docx</w:t>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được hồ sơ hợp lệ. 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Địa chỉ trực tuyến: http://dichvucong.thanhhoa.gov.vn (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(Có biểu đính kèm)</w:t>
              <w:br/>
              <w:t>File đính kèm: Biểu phí, lệ phí Gia hạn.docx</w:t>
            </w:r>
          </w:p>
          <w:p>
            <w:pPr>
              <w:spacing w:after="0" w:before="0" w:lineRule="auto" w:line="276"/>
              <w:jc w:val="left"/>
            </w:pPr>
            <w:r>
              <w:rPr>
                <w:rFonts w:ascii="Times New Roman" w:hAnsi="Times New Roman" w:cs="Times New Roman" w:eastAsia="Times New Roman"/>
                <w:b w:val="false"/>
                <w:sz w:val="26"/>
              </w:rPr>
              <w:t xml:space="preserve">Lệ phí :  </w:t>
              <w:t xml:space="preserve"> (Có biểu đính kèm)</w:t>
              <w:br/>
              <w:t>File đính kèm: Biểu phí, lệ phí Gia hạn.docx</w:t>
            </w:r>
          </w:p>
        </w:tc>
        <w:tc>
          <w:p/>
          <w:p>
            <w:pPr>
              <w:spacing w:after="0" w:before="0" w:lineRule="auto" w:line="276"/>
              <w:jc w:val="left"/>
            </w:pPr>
            <w:r>
              <w:rPr>
                <w:rFonts w:ascii="Times New Roman" w:hAnsi="Times New Roman" w:cs="Times New Roman" w:eastAsia="Times New Roman"/>
                <w:b w:val="false"/>
                <w:sz w:val="26"/>
              </w:rPr>
              <w:t>Không quá 07 ngày làm việc kể từ ngày nhận được hồ sơ hợp lệ. Thời gian này không tính thời gian tiếp nhận hồ sơ tại xã, thời gian thực hiện nghĩa vụ tài chính của người sử dụng đất;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Mau so 09-DK.pdf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trường hợp thực hiện thủ tục đăng ký biến động đất đai, tài sản gắn liền với đất mà có thay đổi thông tin về pháp nhân, số Giấy chứng minh nhân dân, số thẻ Căn cước công dân, số định danh cá nhân, địa chỉ trên Giấy chứng nhận đã cấp thì thực hiện như sau:  Đối với tổ chức, cộng đồng dân cư, cơ sở tôn giáo thì nộp bổ sung văn bản của cơ quan có thẩm quyền cho phép hoặc công nhận việc thay đổi thông tin pháp nhân đối với trường hợp thay đổi thông tin về pháp nhân của tổ chức đã ghi trên Giấy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Sở Tài nguyên và Môi trường tại Trung tâm Phục vụ hành chính công tỉnh, Số 28 Đại lộ Lê Lợi, phường Điện Biên, thành phố Thanh Hóa,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 hạn sử dụng đất, Giấy chứng nhận quyền sử dụng đất quyền sở hữu nhà ở và tài sản khác gắn liền với đất tài sản khác gắn liền với đất,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02/2014/TT-BTC</w:t>
            </w:r>
          </w:p>
        </w:tc>
        <w:tc>
          <w:p/>
          <w:p>
            <w:pPr>
              <w:spacing w:after="0" w:before="0" w:lineRule="auto" w:line="276"/>
              <w:jc w:val="left"/>
            </w:pPr>
            <w:r>
              <w:rPr>
                <w:rFonts w:ascii="Times New Roman" w:hAnsi="Times New Roman" w:cs="Times New Roman" w:eastAsia="Times New Roman"/>
                <w:b w:val="false"/>
                <w:sz w:val="26"/>
              </w:rPr>
              <w:t>Thông tư số 02/2014/TT-BTC ngày 02/01/2014 của Bộ trưởng Bộ Tài chính hướng dẫn về phí và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09/2021/TT-BTNMT</w:t>
            </w:r>
          </w:p>
        </w:tc>
        <w:tc>
          <w:p/>
          <w:p>
            <w:pPr>
              <w:spacing w:after="0" w:before="0" w:lineRule="auto" w:line="276"/>
              <w:jc w:val="left"/>
            </w:pPr>
            <w:r>
              <w:rPr>
                <w:rFonts w:ascii="Times New Roman" w:hAnsi="Times New Roman" w:cs="Times New Roman" w:eastAsia="Times New Roman"/>
                <w:b w:val="false"/>
                <w:sz w:val="26"/>
              </w:rPr>
              <w:t>Thông tư số 09/2021/TT-BTNMT ngày 30 tháng 6 năm 2021 của Bộ trưởng Bộ Tài nguyên và Môi trường sửa đổi, bổ sung một số điều của các thông tư quy định chi tiết và hướng dẫn thi hành Luật Đất đai</w:t>
            </w:r>
          </w:p>
        </w:tc>
        <w:tc>
          <w:p/>
          <w:p>
            <w:pPr>
              <w:spacing w:after="0" w:before="0" w:lineRule="auto" w:line="276"/>
              <w:jc w:val="left"/>
            </w:pPr>
            <w:r>
              <w:rPr>
                <w:rFonts w:ascii="Times New Roman" w:hAnsi="Times New Roman" w:cs="Times New Roman" w:eastAsia="Times New Roman"/>
                <w:b w:val="false"/>
                <w:sz w:val="26"/>
              </w:rPr>
              <w:t>30-06-2021</w:t>
            </w:r>
          </w:p>
        </w:tc>
        <w:tc>
          <w:p/>
        </w:tc>
      </w:tr>
      <w:tr>
        <w:tc>
          <w:p/>
          <w:p>
            <w:pPr>
              <w:spacing w:after="0" w:before="0" w:lineRule="auto" w:line="276"/>
              <w:jc w:val="left"/>
            </w:pPr>
            <w:r>
              <w:rPr>
                <w:rFonts w:ascii="Times New Roman" w:hAnsi="Times New Roman" w:cs="Times New Roman" w:eastAsia="Times New Roman"/>
                <w:b w:val="false"/>
                <w:sz w:val="26"/>
              </w:rPr>
              <w:t>289/2022/NQ-HĐND</w:t>
            </w:r>
          </w:p>
        </w:tc>
        <w:tc>
          <w:p/>
          <w:p>
            <w:pPr>
              <w:spacing w:after="0" w:before="0" w:lineRule="auto" w:line="276"/>
              <w:jc w:val="left"/>
            </w:pPr>
            <w:r>
              <w:rPr>
                <w:rFonts w:ascii="Times New Roman" w:hAnsi="Times New Roman" w:cs="Times New Roman" w:eastAsia="Times New Roman"/>
                <w:b w:val="false"/>
                <w:sz w:val="26"/>
              </w:rPr>
              <w:t>Nghị quyết ban hành mức thu, miễn, giảm, thu, nộp quản lý và sử dụng các khoản phí, lệ phí thuộc Hội đồng nhân dân tỉnh</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10/2023/NĐ-CP</w:t>
            </w:r>
          </w:p>
        </w:tc>
        <w:tc>
          <w:p/>
          <w:p>
            <w:pPr>
              <w:spacing w:after="0" w:before="0" w:lineRule="auto" w:line="276"/>
              <w:jc w:val="left"/>
            </w:pPr>
            <w:r>
              <w:rPr>
                <w:rFonts w:ascii="Times New Roman" w:hAnsi="Times New Roman" w:cs="Times New Roman" w:eastAsia="Times New Roman"/>
                <w:b w:val="false"/>
                <w:sz w:val="26"/>
              </w:rPr>
              <w:t>Nghị định 10/2023/NĐ-CP</w:t>
            </w:r>
          </w:p>
        </w:tc>
        <w:tc>
          <w:p/>
          <w:p>
            <w:pPr>
              <w:spacing w:after="0" w:before="0" w:lineRule="auto" w:line="276"/>
              <w:jc w:val="left"/>
            </w:pPr>
            <w:r>
              <w:rPr>
                <w:rFonts w:ascii="Times New Roman" w:hAnsi="Times New Roman" w:cs="Times New Roman" w:eastAsia="Times New Roman"/>
                <w:b w:val="false"/>
                <w:sz w:val="26"/>
              </w:rPr>
              <w:t>03-04-2023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Trước khi hết hạn sử dụng đất tối thiểu là 06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2026-05-24T15:57:15Z</dcterms:created>
  <dc:creator>Apache POI</dc:creator>
</cp:coreProperties>
</file>