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1.006871.000.00.00.H56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hợp quy sản phẩm, hàng hóa vật liệu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công bố hợp quy nộp trực tiếp hoặc gửi hồ sơ công bố hợp quy qua dịch vụ bưu điện theo quy định tới Sở Xây dựng tại tỉnh, thành phố trực thuộc Trung ương nơi tổ chức, cá nhân công bố hợp quy đăng ký kinh doanh.
- Trong thời gian 02 (hai) ngày làm việc kể từ ngày nhận được hồ sơ công bố hợp quy, Sở Xây dựng tổ chức kiểm tra tính hợp lệ của hồ sơ công bố hợp quy.
- Trường hợp hồ sơ công bố hợp quy hợp lệ, Sở Xây dựng ban hành Thông báo tiếp nhận hồ sơ công bố hợp quy cho tổ chức, cá nhân công bố hợp quy theo Mẫu 3. TBTNHS, Thông tư  số 28/2012/TT-BKHCN ngày 12/12/2012 của Bộ Khoa học và Công nghệ quy định về công bố hợp chuẩn, công bố hợp quy và phương thức đánh giá sự phù hợp với tiêu chuẩn, quy chuẩn kỹ thuật;
- Trường hợp hồ sơ công bố hợp quy không hợp lệ, Sở Xây dựng ban hành Thông báo bằng văn bản cho tổ chức, cá nhân công bố hợp quy về lý do không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((Theo hướng dẫn tại Thông tư số 183/2016/TT-BTC ngày 08/11/2016 của Bộ Tài chính 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 Trong thời gian 03 (ba) ngày làm việc kể từ ngày nhận được hồ sơ công bố hợp quy.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hợp quy theo Mẫu 02. CBHC/HQ, Thông tư số 28/2012/TT-BKHCN ngày 12/12/201</w:t>
            </w:r>
          </w:p>
        </w:tc>
        <w:tc>
          <w:p/>
          <w:p>
            <w:pPr>
              <w:spacing w:after="0" w:before="0" w:lineRule="auto" w:line="276"/>
              <w:jc w:val="left"/>
            </w:pPr>
            <w:r>
              <w:rPr>
                <w:rFonts w:ascii="Times New Roman" w:hAnsi="Times New Roman" w:cs="Times New Roman" w:eastAsia="Times New Roman"/>
                <w:b w:val="false"/>
                <w:sz w:val="26"/>
              </w:rPr>
              <w:t>Ban cong bo hop chuan hop quy theo mau 02 TT 28.2012 cua Bo KHCN.docx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y bản chính Giấy chứng nhận hợp quy kèm theo mẫu dấu hợp quy do tổ chức chứng nhận hợp quy cấp cho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Xây dựng tại Trung tâm Phục vụ hành chính công tỉnh Thanh Hóa, số 28 Đại lộ Lê Lợi, phường Hạc Thành, tỉnh Thanh Hóa. - Nộp trực tuyến qua Cổng Dịch vụ công Quốc gia (toàn trình) tại địa chỉ https://dichvucong.gov.vn - Trung tâm Phục vụ hành chính công cấp xã thuộc UBND cấp xã tỉnh Thanh Hóa (thực hiện tiếp nhận hồ sơ, trả kết quả không phụ thuộc v</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bản công bố hợp quy, báo cáo đánh giá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183/2016/TT-BTC</w:t>
            </w:r>
          </w:p>
        </w:tc>
        <w:tc>
          <w:p/>
          <w:p>
            <w:pPr>
              <w:spacing w:after="0" w:before="0" w:lineRule="auto" w:line="276"/>
              <w:jc w:val="left"/>
            </w:pPr>
            <w:r>
              <w:rPr>
                <w:rFonts w:ascii="Times New Roman" w:hAnsi="Times New Roman" w:cs="Times New Roman" w:eastAsia="Times New Roman"/>
                <w:b w:val="false"/>
                <w:sz w:val="26"/>
              </w:rPr>
              <w:t>Thông tư 183/2016/TT-BTC</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28/2012/TT-BKHCN</w:t>
            </w:r>
          </w:p>
        </w:tc>
        <w:tc>
          <w:p/>
          <w:p>
            <w:pPr>
              <w:spacing w:after="0" w:before="0" w:lineRule="auto" w:line="276"/>
              <w:jc w:val="left"/>
            </w:pPr>
            <w:r>
              <w:rPr>
                <w:rFonts w:ascii="Times New Roman" w:hAnsi="Times New Roman" w:cs="Times New Roman" w:eastAsia="Times New Roman"/>
                <w:b w:val="false"/>
                <w:sz w:val="26"/>
              </w:rPr>
              <w:t>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12-12-2012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02/2017/TT-BKHCN</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28/2012/TT-BKHCN ngày 12 tháng 12 năm 2012 của Bộ trưởng Bộ Khoa học và Công nghệ 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31-03-2017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10/2017/TT-BXD</w:t>
            </w:r>
          </w:p>
        </w:tc>
        <w:tc>
          <w:p/>
          <w:p>
            <w:pPr>
              <w:spacing w:after="0" w:before="0" w:lineRule="auto" w:line="276"/>
              <w:jc w:val="left"/>
            </w:pPr>
            <w:r>
              <w:rPr>
                <w:rFonts w:ascii="Times New Roman" w:hAnsi="Times New Roman" w:cs="Times New Roman" w:eastAsia="Times New Roman"/>
                <w:b w:val="false"/>
                <w:sz w:val="26"/>
              </w:rPr>
              <w:t>Thông tư 10/2017/TT-BXD</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06/2020/TT-BKHCN</w:t>
            </w:r>
          </w:p>
        </w:tc>
        <w:tc>
          <w:p/>
          <w:p>
            <w:pPr>
              <w:spacing w:after="0" w:before="0" w:lineRule="auto" w:line="276"/>
              <w:jc w:val="left"/>
            </w:pPr>
            <w:r>
              <w:rPr>
                <w:rFonts w:ascii="Times New Roman" w:hAnsi="Times New Roman" w:cs="Times New Roman" w:eastAsia="Times New Roman"/>
                <w:b w:val="false"/>
                <w:sz w:val="26"/>
              </w:rPr>
              <w:t>Thông tư 06/2020/TT-BKHCN</w:t>
            </w:r>
          </w:p>
        </w:tc>
        <w:tc>
          <w:p/>
          <w:p>
            <w:pPr>
              <w:spacing w:after="0" w:before="0" w:lineRule="auto" w:line="276"/>
              <w:jc w:val="left"/>
            </w:pPr>
            <w:r>
              <w:rPr>
                <w:rFonts w:ascii="Times New Roman" w:hAnsi="Times New Roman" w:cs="Times New Roman" w:eastAsia="Times New Roman"/>
                <w:b w:val="false"/>
                <w:sz w:val="26"/>
              </w:rPr>
              <w:t>10-12-2020</w:t>
            </w:r>
          </w:p>
        </w:tc>
        <w:tc>
          <w:p/>
        </w:tc>
      </w:tr>
      <w:tr>
        <w:tc>
          <w:p/>
          <w:p>
            <w:pPr>
              <w:spacing w:after="0" w:before="0" w:lineRule="auto" w:line="276"/>
              <w:jc w:val="left"/>
            </w:pPr>
            <w:r>
              <w:rPr>
                <w:rFonts w:ascii="Times New Roman" w:hAnsi="Times New Roman" w:cs="Times New Roman" w:eastAsia="Times New Roman"/>
                <w:b w:val="false"/>
                <w:sz w:val="26"/>
              </w:rPr>
              <w:t>04/2023/TT-BXD</w:t>
            </w:r>
          </w:p>
        </w:tc>
        <w:tc>
          <w:p/>
          <w:p>
            <w:pPr>
              <w:spacing w:after="0" w:before="0" w:lineRule="auto" w:line="276"/>
              <w:jc w:val="left"/>
            </w:pPr>
            <w:r>
              <w:rPr>
                <w:rFonts w:ascii="Times New Roman" w:hAnsi="Times New Roman" w:cs="Times New Roman" w:eastAsia="Times New Roman"/>
                <w:b w:val="false"/>
                <w:sz w:val="26"/>
              </w:rPr>
              <w:t>04/2023/TT-BXD</w:t>
            </w:r>
          </w:p>
        </w:tc>
        <w:tc>
          <w:p/>
          <w:p>
            <w:pPr>
              <w:spacing w:after="0" w:before="0" w:lineRule="auto" w:line="276"/>
              <w:jc w:val="left"/>
            </w:pPr>
            <w:r>
              <w:rPr>
                <w:rFonts w:ascii="Times New Roman" w:hAnsi="Times New Roman" w:cs="Times New Roman" w:eastAsia="Times New Roman"/>
                <w:b w:val="false"/>
                <w:sz w:val="26"/>
              </w:rPr>
              <w:t>30-06-2023</w:t>
            </w:r>
          </w:p>
        </w:tc>
        <w:tc>
          <w:p/>
        </w:tc>
      </w:tr>
      <w:tr>
        <w:tc>
          <w:p/>
          <w:p>
            <w:pPr>
              <w:spacing w:after="0" w:before="0" w:lineRule="auto" w:line="276"/>
              <w:jc w:val="left"/>
            </w:pPr>
            <w:r>
              <w:rPr>
                <w:rFonts w:ascii="Times New Roman" w:hAnsi="Times New Roman" w:cs="Times New Roman" w:eastAsia="Times New Roman"/>
                <w:b w:val="false"/>
                <w:sz w:val="26"/>
              </w:rPr>
              <w:t>10/2024/TT-BXD</w:t>
            </w:r>
          </w:p>
        </w:tc>
        <w:tc>
          <w:p/>
          <w:p>
            <w:pPr>
              <w:spacing w:after="0" w:before="0" w:lineRule="auto" w:line="276"/>
              <w:jc w:val="left"/>
            </w:pPr>
            <w:r>
              <w:rPr>
                <w:rFonts w:ascii="Times New Roman" w:hAnsi="Times New Roman" w:cs="Times New Roman" w:eastAsia="Times New Roman"/>
                <w:b w:val="false"/>
                <w:sz w:val="26"/>
              </w:rPr>
              <w:t>10/2024/TT-BXD</w:t>
            </w:r>
          </w:p>
        </w:tc>
        <w:tc>
          <w:p/>
          <w:p>
            <w:pPr>
              <w:spacing w:after="0" w:before="0" w:lineRule="auto" w:line="276"/>
              <w:jc w:val="left"/>
            </w:pPr>
            <w:r>
              <w:rPr>
                <w:rFonts w:ascii="Times New Roman" w:hAnsi="Times New Roman" w:cs="Times New Roman" w:eastAsia="Times New Roman"/>
                <w:b w:val="false"/>
                <w:sz w:val="26"/>
              </w:rPr>
              <w:t>01-11-2024</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04/2025/TT-BKHCN</w:t>
            </w:r>
          </w:p>
        </w:tc>
        <w:tc>
          <w:p/>
          <w:p>
            <w:pPr>
              <w:spacing w:after="0" w:before="0" w:lineRule="auto" w:line="276"/>
              <w:jc w:val="left"/>
            </w:pPr>
            <w:r>
              <w:rPr>
                <w:rFonts w:ascii="Times New Roman" w:hAnsi="Times New Roman" w:cs="Times New Roman" w:eastAsia="Times New Roman"/>
                <w:b w:val="false"/>
                <w:sz w:val="26"/>
              </w:rPr>
              <w:t>Thông tư số 04/2025/TT-BKHCN của Bộ Khoa học và Công nghệ: Sửa đổi, bổ sung một số điều của Thông tư số 28/2012/TT-BKHCN ngày 12 tháng 12 năm 2012 của Bộ trưởng Bộ Khoa học và Công nghệ quy định về công bố hợp chuẩn, công bố hợp quy và phương thức đánh giá sự phù hợp với tiêu chuẩn, quy chuẩn kỹ thuật được sửa đổi, bổ sung bởi Thông tư số 02/2017/TT-BKHCN ngày 31 tháng 3 năm 2017</w:t>
            </w:r>
          </w:p>
        </w:tc>
        <w:tc>
          <w:p/>
          <w:p>
            <w:pPr>
              <w:spacing w:after="0" w:before="0" w:lineRule="auto" w:line="276"/>
              <w:jc w:val="left"/>
            </w:pPr>
            <w:r>
              <w:rPr>
                <w:rFonts w:ascii="Times New Roman" w:hAnsi="Times New Roman" w:cs="Times New Roman" w:eastAsia="Times New Roman"/>
                <w:b w:val="false"/>
                <w:sz w:val="26"/>
              </w:rPr>
              <w:t>31-05-2025</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Yêu cầu chung:
- Công bố hợp quy phải dựa trên kết quả đánh giá, chứng nhận của tổ chức
chứng nhận hợp quy;
- Trường hợp sử dụng kết quả đánh giá sự phù hợp của tổ chức đánh giá sự phù
hợp nước ngoài để chứng nhận, công bố hợp quy thì tổ chức đánh giá sự phù hợp
nước ngoài phải được thừa nhận theo quy định của pháp luật.
- Trường hợp sản phẩm, hàng hóa vật liệu xây dựng được quản lý bởi nhiều quy
chuẩn kỹ thuật khác nhau thì sản phẩm, hàng hóa đó phải được thực hiện đăng ký
công bố hợp quy tại các cơ quan chuyên ngành tương ứng và dấu hợp quy chỉ được
sử dụng khi sản phẩm, hàng hóa đó đã thực hiện đầy đủ các biện pháp quản lý theo
quy định tại các quy chuẩn kỹ thuật tương ứng.
b) Điều kiện để thực hiện:
- Hồ sơ hợp lệ theo quy định;
- Kê khai đúng chủng loại sản phẩm, hàng hóa vật liệu xây dựng phù hợp với
danh mục sản phẩm quy định tại Bảng 1 Phần 2 QCVN 16:2023/BXD. Trong
trường hợp chưa xác định rõ chủng loại sản phẩm, cần phối hợp với tổ chức chứng
nhận hợp quy để thực hiện việc định danh sản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2026-05-19T12:38:18Z</dcterms:created>
  <dc:creator>Apache POI</dc:creator>
</cp:coreProperties>
</file>