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1.004200.000.00.00.H56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điều chỉnh về quy mô, quy hoạch, hạ tầng kỹ thuật, danh mục ngành nghề trong khu công nghiệp, khu chế xuất, khu công nghệ cao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báo cáo: Chủ đầu tư xây dựng và kinh doanh hạ tầng khu công nghiệp, khu chế xuất, khu công nghệ cao gửi báo cáo về việc điều chỉnh về quy mô, quy hoạch, hạ tầng kỹ thuật, danh mục ngành nghề trong khu công nghiệp, khu chế xuất, khu công nghệ cao đến UBND cấp tỉnh.</w:t>
      </w:r>
    </w:p>
    <w:p>
      <w:pPr>
        <w:spacing w:after="0" w:before="0" w:lineRule="auto" w:line="276"/>
        <w:jc w:val="both"/>
      </w:pPr>
      <w:r>
        <w:rPr>
          <w:rFonts w:ascii="Times New Roman" w:hAnsi="Times New Roman" w:cs="Times New Roman" w:eastAsia="Times New Roman"/>
          <w:b w:val="false"/>
          <w:sz w:val="26"/>
        </w:rPr>
        <w:t>- Bước 2: Xem xét, đánh giá báo cáo: UBND cấp tỉnh tổ chức xem xét, đánh giá báo cáo việc điều chỉnh về quy mô, quy hoạch, hạ tầng kỹ thuật, danh mục ngành nghề trong khu công nghiệp, khu chế xuất, khu công nghệ cao. Trường hợp cần thiết, tổ chức đoàn kiểm tra thực tế, lấy ý kiến chuyên gia và cơ quan có liên quan để xem xét, quyết định.</w:t>
      </w:r>
    </w:p>
    <w:p>
      <w:pPr>
        <w:spacing w:after="0" w:before="0" w:lineRule="auto" w:line="276"/>
        <w:jc w:val="both"/>
      </w:pPr>
      <w:r>
        <w:rPr>
          <w:rFonts w:ascii="Times New Roman" w:hAnsi="Times New Roman" w:cs="Times New Roman" w:eastAsia="Times New Roman"/>
          <w:b w:val="false"/>
          <w:sz w:val="26"/>
        </w:rPr>
        <w:t>Sau khi tổ chức xem xét, đánh giá báo cáo, UBND cấp tỉnh xem xét và thông báo kết quả về việc chấp thuận hoặc không chấp thuận cho chủ đầu tư xây dựng và kinh doanh hạ tầng khu công nghiệp, khu chế xuất, khu công nghệ cao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Hai mươi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báo cáo điều chỉnh về quy mô, quy hoạch, hạ tầng kỹ thuật, danh mục ngành nghề trong khu công nghiệp, khu chế xuất, khu công nghệ cao theo mẫu quy định tại Phụ lục 4 ban hành kèm theo Thông tư số 35/2015/TT-BTNMT ngày 30 tháng 6 năm 2015 của Bộ Tài nguyên và Môi trường.</w:t>
            </w:r>
          </w:p>
        </w:tc>
        <w:tc>
          <w:p/>
          <w:p>
            <w:pPr>
              <w:spacing w:after="0" w:before="0" w:lineRule="auto" w:line="276"/>
              <w:jc w:val="left"/>
            </w:pPr>
            <w:r>
              <w:rPr>
                <w:rFonts w:ascii="Times New Roman" w:hAnsi="Times New Roman" w:cs="Times New Roman" w:eastAsia="Times New Roman"/>
                <w:b w:val="false"/>
                <w:sz w:val="26"/>
              </w:rPr>
              <w:t>Phụ lục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Ban Quản lý Khu kinh tế Nghi Sơn và các khu công nghiệp tại Trung tâm Hành chính công tỉnh (Số 28 Đại lộ Lê Lợi, phường Điện Biên, thành phố Thanh Hóa,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điều chỉnh về quy mô, quy hoạch, hạ tầng kỹ thuật, danh mục ngành nghề trong khu công nghiệp, khu chế xuất, khu công nghệ cao hoặc văn bản không chấp thuận điều chỉnh về quy mô, quy hoạch, hạ tầng kỹ thuật, danh mục ngành nghề trong khu công nghiệp, khu chế xuất, khu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35/2015/TT-BTNMT</w:t>
            </w:r>
          </w:p>
        </w:tc>
        <w:tc>
          <w:p/>
          <w:p>
            <w:pPr>
              <w:spacing w:after="0" w:before="0" w:lineRule="auto" w:line="276"/>
              <w:jc w:val="left"/>
            </w:pPr>
            <w:r>
              <w:rPr>
                <w:rFonts w:ascii="Times New Roman" w:hAnsi="Times New Roman" w:cs="Times New Roman" w:eastAsia="Times New Roman"/>
                <w:b w:val="false"/>
                <w:sz w:val="26"/>
              </w:rPr>
              <w:t>Thông tư 35/2015/TT-BTNMT</w:t>
            </w:r>
          </w:p>
        </w:tc>
        <w:tc>
          <w:p/>
          <w:p>
            <w:pPr>
              <w:spacing w:after="0" w:before="0" w:lineRule="auto" w:line="276"/>
              <w:jc w:val="left"/>
            </w:pPr>
            <w:r>
              <w:rPr>
                <w:rFonts w:ascii="Times New Roman" w:hAnsi="Times New Roman" w:cs="Times New Roman" w:eastAsia="Times New Roman"/>
                <w:b w:val="false"/>
                <w:sz w:val="26"/>
              </w:rPr>
              <w:t>30-06-2015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2026-05-19T20:13:10Z</dcterms:created>
  <dc:creator>Apache POI</dc:creator>
</cp:coreProperties>
</file>