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1.005057.000.00.00.H32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giáo dục thường xuyên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Sở Giáo dục và Đào tạo xây dựng phương án giải thể trung tâm giáo dục thường xuyên, gửi công văn đề nghị Sở Nội vụ tổ chức thẩm định. Sau khi thẩm định, Sở Nội vụ chuyển hồ sơ thẩm định đến văn phòng Ủy ban nhân dân tỉnh thẩm tra và trình Chủ tịch Ủy ban nhân dân cấp tỉnh quyết định giải thể trung tâm giáo dục thường xuyên;</w:t>
      </w:r>
    </w:p>
    <w:p>
      <w:pPr>
        <w:spacing w:after="0" w:before="0" w:lineRule="auto" w:line="276"/>
        <w:jc w:val="both"/>
      </w:pPr>
      <w:r>
        <w:rPr>
          <w:rFonts w:ascii="Times New Roman" w:hAnsi="Times New Roman" w:cs="Times New Roman" w:eastAsia="Times New Roman"/>
          <w:b w:val="false"/>
          <w:sz w:val="26"/>
        </w:rPr>
        <w:t>b) Quyết định giải thể trung tâm giáo dục thường xuyên phải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giải thể trung tâm giáo dục thường xuyên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đề nghị Sở Nội vụ tổ chức thẩm định Phương án giải thể trung tâm giáo dục thường xuyên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giáo dục thường xuyên, trung tâm giáo dục nghề nghiệp - giáo dục thường xuyên tư thục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Vi phạm nghiêm trọng các quy định về quản lý, tổ chức, hoạt động của trung tâm;
b) Hết thời gian đình chỉ ghi trong quyết định đình chỉ hoạt động mà không khắc phục được nguyên nhân dẫn đến việc đình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2026-05-27T10:41:55Z</dcterms:created>
  <dc:creator>Apache POI</dc:creator>
</cp:coreProperties>
</file>