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1.001695.000.00.00.H29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sinh và nhận cha, mẹ, con nộp hồ sơ tại Ủy ban nhân dân cấp huyện có thẩm quyền.</w:t>
      </w:r>
    </w:p>
    <w:p>
      <w:pPr>
        <w:spacing w:after="0" w:before="0" w:lineRule="auto" w:line="276"/>
        <w:jc w:val="both"/>
      </w:pPr>
      <w:r>
        <w:rPr>
          <w:rFonts w:ascii="Times New Roman" w:hAnsi="Times New Roman" w:cs="Times New Roman" w:eastAsia="Times New Roman"/>
          <w:b w:val="false"/>
          <w:sz w:val="26"/>
        </w:rPr>
        <w:t xml:space="preserve">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khai sinh và nhận cha, mẹ, con sau khi đã được hướng dẫn theo quy định mà không được bổ sung,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15 ngày, kể từ ngày nhận đủ hồ sơ hợp lệ, công chức làm công tác hộ tịch xác minh, niêm yết việc nhận cha, mẹ, con tại trụ sở Ủy ban nhân dân cấp huyện trong thời gian 07 ngày liên tục, đồng thời gửi văn bản đề nghị Ủy ban nhân dân cấp xã nơi thường trú của người được nhận là cha, mẹ, con niêm yết trong thời gian 07 ngày liên tục tại trụ sở Ủy ban nhân dân cấp xã.</w:t>
      </w:r>
    </w:p>
    <w:p>
      <w:pPr>
        <w:spacing w:after="0" w:before="0" w:lineRule="auto" w:line="276"/>
        <w:jc w:val="both"/>
      </w:pPr>
      <w:r>
        <w:rPr>
          <w:rFonts w:ascii="Times New Roman" w:hAnsi="Times New Roman" w:cs="Times New Roman" w:eastAsia="Times New Roman"/>
          <w:b w:val="false"/>
          <w:sz w:val="26"/>
        </w:rPr>
        <w:t>Nếu thấy việc nhận cha, mẹ, con là đúng, không có tranh chấp; thông tin khai sinh đầy đủ và phù hợp, Phòng Tư pháp báo cáo Chủ tịch Ủy ban nhân dân cấp huyện. Trường hợp Chủ tịch Ủy ban nhân dân cấp huyện đồng ý giải quyết thì ký Trích lục đăng ký nhận cha, mẹ, con và Giấy khai sinh cấp cho người có yêu cầu. Trường hợp cha, mẹ lựa chọn quốc tịch Việt Nam cho con thì công chức làm công tác hộ tịch cập nhật thông tin khai sinh theo hướng dẫn để lấy Số định danh cá nhân (đối với các địa phương đã triển khai cấp Số định danh cá nhân khi đăng ký khai sinh).</w:t>
      </w:r>
    </w:p>
    <w:p>
      <w:pPr>
        <w:spacing w:after="0" w:before="0" w:lineRule="auto" w:line="276"/>
        <w:jc w:val="both"/>
      </w:pPr>
      <w:r>
        <w:rPr>
          <w:rFonts w:ascii="Times New Roman" w:hAnsi="Times New Roman" w:cs="Times New Roman" w:eastAsia="Times New Roman"/>
          <w:b w:val="false"/>
          <w:sz w:val="26"/>
        </w:rPr>
        <w:t>Khi đăng ký nhận cha, mẹ, con các bên phải có mặt, công chức làm công tác hộ tịch ghi vào Sổ đăng ký nhận cha, mẹ, con, Sổ đăng ký khai sinh và cùng người đi đăng ký hộ tịch ký vào Sổ.</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Lệ 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Lệ phí : 8000 Đồng</w:t>
              <w:t xml:space="preserve"> (Phí cấp bản sao Trích lục đăng ký nhận cha, mẹ, con (nếu có yêu cầu): 8.000 đồng/bản sao Trích lục/sự kiện hộ tịch đã đăng ký (thực hiện theo quy định tại Thông tư số 281/2016/TT-BTC ngày 14/11/2016 của Bộ Tài chính).)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Giấy khai sinh, bản sao Trích lục đăng ký nhận cha, mẹ, con (nếu có yêu cầu): 8.000 đồng/bản sao Trích lục/sự kiện hộ tịch đã đăng ký (thực hiện theo quy định tại Thông tư số 281/2016/TT-BTC ngày 14/11/2016 của Bộ trưởng Bộ Tài chính))</w:t>
            </w:r>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 - Miễn lệ phí đối với trẻ em, người thuộc hộ nghèo, người cao tuổi, người khuyết tật, người thuộc gia đình có công với cách mạng.)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 Miễn lệ phí đối với trẻ em, người thuộc hộ nghèo, người cao tuổi, người khuyết tật, người thuộc gia đình có công với cách mạng.)</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Giấy khai sinh, bản sao Trích lục đăng ký nhận cha, mẹ, con (nếu có yêu cầu): 8.000 đồng/bản sao Trích lục/sự kiện hộ tịch đã đăng ký (thực hiện theo quy định tại Thông tư số 281/2016/TT-BTC ngày 14/11/2016 của Bộ trưởng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Giấy chứng sinh thì nộp văn bản của người làm chứng xác nhận về việc sinh; nếu không có văn bản của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tại nước ngoài thì nộp Giấy chứng sinh hoặc giấy tờ khác do cơ quan có thẩm quyền nước ngoài cấp xác nhận về việc trẻ em được sinh ra ở nước ngoài và quan hệ mẹ - con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mà trẻ được chọn mang quốc tịch về việc trẻ có quốc tịch phù hợp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ở nước ngoài, có cha hoặc mẹ là công dân Việt Nam hoặc cha và mẹ đều là công dân Việt Nam, chưa được đăng ký khai sinh ở nước ngoài, về cư trú tại Việt Nam thì xuất trình giấy tờ chứng minh việc trẻ em đã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bưu chính:  + Trung tâm Phục vụ hành chính công Thành phố:  + Trung tâm Phục vụ hành chính công cấp xã. - Trực tuyến tại Cổng dịch vụ công quốc gia: http://dichvu congquocgia. 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07/2024/NQ-HĐND</w:t>
            </w:r>
          </w:p>
        </w:tc>
        <w:tc>
          <w:p/>
          <w:p>
            <w:pPr>
              <w:spacing w:after="0" w:before="0" w:lineRule="auto" w:line="276"/>
              <w:jc w:val="left"/>
            </w:pPr>
            <w:r>
              <w:rPr>
                <w:rFonts w:ascii="Times New Roman" w:hAnsi="Times New Roman" w:cs="Times New Roman" w:eastAsia="Times New Roman"/>
                <w:b w:val="false"/>
                <w:sz w:val="26"/>
              </w:rPr>
              <w:t>Nghị quyết số 07/2024/NQ-HĐND</w:t>
            </w:r>
          </w:p>
        </w:tc>
        <w:tc>
          <w:p/>
          <w:p>
            <w:pPr>
              <w:spacing w:after="0" w:before="0" w:lineRule="auto" w:line="276"/>
              <w:jc w:val="left"/>
            </w:pPr>
            <w:r>
              <w:rPr>
                <w:rFonts w:ascii="Times New Roman" w:hAnsi="Times New Roman" w:cs="Times New Roman" w:eastAsia="Times New Roman"/>
                <w:b w:val="false"/>
                <w:sz w:val="26"/>
              </w:rPr>
              <w:t>19-05-2024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2026-05-13T18:34:47Z</dcterms:created>
  <dc:creator>Apache POI</dc:creator>
</cp:coreProperties>
</file>