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hd w:val="clear" w:color="auto" w:fill="F2F6F9"/>
        <w:spacing w:after="0" w:before="120" w:lineRule="auto" w:line="276"/>
        <w:jc w:val="both"/>
      </w:pPr>
      <w:r>
        <w:rPr>
          <w:rFonts w:ascii="Times New Roman" w:hAnsi="Times New Roman" w:cs="Times New Roman" w:eastAsia="Times New Roman"/>
          <w:b w:val="tru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1000-200000 Đồng</w:t>
              <w:t xml:space="preserve"> (Từ trang thứ 03 trở lên thu 1.000 đồng/trang, nhưng mức thu tối đa thu không quá 200.000 đồng/bản.)</w:t>
            </w:r>
          </w:p>
          <w:p>
            <w:pPr>
              <w:spacing w:after="0" w:before="0" w:lineRule="auto" w:line="276"/>
              <w:jc w:val="left"/>
            </w:pPr>
            <w:r>
              <w:rPr>
                <w:rFonts w:ascii="Times New Roman" w:hAnsi="Times New Roman" w:cs="Times New Roman" w:eastAsia="Times New Roman"/>
                <w:b w:val="false"/>
                <w:sz w:val="26"/>
              </w:rPr>
              <w:t>Lệ phí : 2000 Đồng</w:t>
              <w:t xml:space="preserve"> (2.000 đồng/trang.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2026-05-13T18:28:30Z</dcterms:created>
  <dc:creator>Apache POI</dc:creator>
</cp:coreProperties>
</file>