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1.003243.000.00.00.H29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5032/QĐ-UBND-DM</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đăng ký hoạt động của cơ sở hỗ trợ nạn nhân bạo lực gia đình(thẩm quyền của Uỷ ban nhân dân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Gia đình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Cơ sở hỗ trợ nạn nhân bạo lực gia đình do các tổ chức, cá nhân trong nước thành lập mà không thuộc các trường hợp do Uỷ ban nhân dân cấp tỉnh cấp Giấy chứng nhận đăng ký hoạt động quy định tại Khoản 1 Điều 17 Nghị định số 08/2009/NĐ-CP ngày 04 tháng 02 năm 2009 của Chính phủ Quy định chi tiết và hướng dẫn thi hành một số điều của Luật Phòng, chống bạo lực gia đình (sau đây viết tắt là Nghị định số 08/2009/NĐ-CP) nộp hồ sơ cho Phòng Văn hóa và Thông tin. </w:t>
      </w:r>
    </w:p>
    <w:p>
      <w:pPr>
        <w:spacing w:after="0" w:before="0" w:lineRule="auto" w:line="276"/>
        <w:jc w:val="both"/>
      </w:pPr>
      <w:r>
        <w:rPr>
          <w:rFonts w:ascii="Times New Roman" w:hAnsi="Times New Roman" w:cs="Times New Roman" w:eastAsia="Times New Roman"/>
          <w:b w:val="false"/>
          <w:sz w:val="26"/>
        </w:rPr>
        <w:t xml:space="preserve">- Phòng Văn hóa và Thông tin tiếp nhận hồ sơ và cấp giấy biên nhận cho bên nộp hồ sơ. </w:t>
      </w:r>
    </w:p>
    <w:p>
      <w:pPr>
        <w:spacing w:after="0" w:before="0" w:lineRule="auto" w:line="276"/>
        <w:jc w:val="both"/>
      </w:pPr>
      <w:r>
        <w:rPr>
          <w:rFonts w:ascii="Times New Roman" w:hAnsi="Times New Roman" w:cs="Times New Roman" w:eastAsia="Times New Roman"/>
          <w:b w:val="false"/>
          <w:sz w:val="26"/>
        </w:rPr>
        <w:t xml:space="preserve">- Trong thời hạn 15 ngày làm việc kể từ ngày nhận đủ hồ sơ hợp lệ, cơ quan nhận hồ sơ phải có kết quả thẩm định hồ sơ. Trường hợp hồ sơ chưa hợp lệ thì cơ quan tiếp nhận hồ sơ có trách nhiệm hướng dẫn cơ sở hoàn thiện hồ sơ, thời hạn có kết quả thẩm định được tính lại từ khi nhận đủ hồ sơ hợp lệ. </w:t>
      </w:r>
    </w:p>
    <w:p>
      <w:pPr>
        <w:spacing w:after="0" w:before="0" w:lineRule="auto" w:line="276"/>
        <w:jc w:val="both"/>
      </w:pPr>
      <w:r>
        <w:rPr>
          <w:rFonts w:ascii="Times New Roman" w:hAnsi="Times New Roman" w:cs="Times New Roman" w:eastAsia="Times New Roman"/>
          <w:b w:val="false"/>
          <w:sz w:val="26"/>
        </w:rPr>
        <w:t>- Trong thời hạn 05 ngày làm việc kể từ khi có kết quả thẩm định, cơ quan thẩm định phải gửi một bộ hồ sơ và biên bản thẩm định cơ sở hỗ trợ nạn nhân bạo lực gia đình tới Uỷ ban nhân dân huyện, quận, thị xã, thành phố thuộc tỉnh (sau đây gọi tắt là Ủy ban nhân dân cấp huyện).</w:t>
      </w:r>
    </w:p>
    <w:p>
      <w:pPr>
        <w:spacing w:after="0" w:before="0" w:lineRule="auto" w:line="276"/>
        <w:jc w:val="both"/>
      </w:pPr>
      <w:r>
        <w:rPr>
          <w:rFonts w:ascii="Times New Roman" w:hAnsi="Times New Roman" w:cs="Times New Roman" w:eastAsia="Times New Roman"/>
          <w:b w:val="false"/>
          <w:sz w:val="26"/>
        </w:rPr>
        <w:t>- Trong thời hạn 10 ngày làm việc kể từ ngày nhận đủ hồ sơ và biên bản thẩm định, Uỷ ban nhân dân cấp huyện có trách nhiệm cấp Giấy chứng nhận đăng ký hoạt động cho cơ sở hỗ trợ nạn nhân bạo lực gia đình.  Trường hợp từ chối cấp Giấy chứng nhận hoạt động thì phải nêu rõ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thực hiện là 30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thực hiện là 30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hoạt động của cơ sở hỗ trợ nạn nhân bạo lực gia đình (mẫu số M4b ban hành kèm theo Thông tư số 02/2010/TT-BVHTTDL);</w:t>
            </w:r>
          </w:p>
        </w:tc>
        <w:tc>
          <w:p/>
          <w:p>
            <w:pPr>
              <w:spacing w:after="0" w:before="0" w:lineRule="auto" w:line="276"/>
              <w:jc w:val="left"/>
            </w:pPr>
            <w:r>
              <w:rPr>
                <w:rFonts w:ascii="Times New Roman" w:hAnsi="Times New Roman" w:cs="Times New Roman" w:eastAsia="Times New Roman"/>
                <w:b w:val="false"/>
                <w:sz w:val="26"/>
              </w:rPr>
              <w:t>Đơn đăng ký hoạt động của cơ sở hỗ trợ nạn nhân bạo lực gia đình.docx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 chế hoạt động của cơ sở hỗ trợ nạn nhân bạo lực gia đình. Quy chế phải có các nội dung cơ bản sau:  - Mục tiêu, tên gọi, địa bàn và quy mô hoạt động của cơ sở hỗ trợ nạn nhân bạo lực gia đình;  - Cơ cấu tổ chức, mối quan hệ trong chỉ đạo, điều hành của cơ sở hỗ trợ nạn nhân bạo lực gia đình;  - Trách nhiệm của người đứng đầu, nhân viên trực tiếp chăm sóc, tư vấn và những người khác làm việc tại cơ sở hỗ trợ nạn nhân bạo lực gia đình;  - Trách nhiệm, quyền lợi của nạn nhân bạo lực gia đình khi được tiếp nhận vào cơ sở hỗ trợ nạn nhân bạo lực gia đình;  - Nguyên tắc quản lý tài sản, tài chính và những quy định có tính chất hành chính phù hợp với đặc điểm của loại hình cơ sở hỗ trợ nạn nhân bạo lực gia đình.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Xác nhận bằng văn bản của Uỷ ban nhân dân xã, phường, thị trấn về địa điểm của cơ sở hỗ trợ nạn nhân bạo lực gia đình có trụ sở hoạt động đặt trên địa bàn;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thuyết minh về nguồn lực tài chính, gồm những nội dung sau:  - Tình hình tài chính hiện có của cơ sở (bao gồm: tiền mặt, tiền gửi có trong tài khoản tại ngân hàng, kho bạc); nguồn kinh phí nếu nhận từ nguồn tài trợ, cần nêu rõ tên, địa chỉ của tổ chức, cá nhân tài trợ, số tiền, hiện vật và thời gian tài trợ;  - Nguồn tài chính được cam kết đảm bảo cho hoạt động của cơ sở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của người đứng đầu cơ sở có xác nhận của Uỷ ban nhân dân cấp xã nơi cư trú hoặc cơ quan quản lý nhà nước quản lý người đứng đầu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người làm việc tại cơ sở có xác nhận của người đứng đầu cơ sở, kèm theo bản sao Giấy chứng nhận tập huấn nghiệp vụ chăm sóc nạn nhân bạo lực gia đình (nếu có). Nếu chưa có Giấy chứng nhận tập huấn nghiệp vụ chăm sóc nạn nhân bạo lực gia đình thì trong hồ sơ phải nêu rõ kế hoạch tham gia tập huấn cho người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Văn hóa và Thông tin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thành lập cơ sở cung cấp dịch vụ trợ giúp phòng, chống bạo lực gia đình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23/2014/TT-BVHTTDL</w:t>
            </w:r>
          </w:p>
        </w:tc>
        <w:tc>
          <w:p/>
          <w:p>
            <w:pPr>
              <w:spacing w:after="0" w:before="0" w:lineRule="auto" w:line="276"/>
              <w:jc w:val="left"/>
            </w:pPr>
            <w:r>
              <w:rPr>
                <w:rFonts w:ascii="Times New Roman" w:hAnsi="Times New Roman" w:cs="Times New Roman" w:eastAsia="Times New Roman"/>
                <w:b w:val="false"/>
                <w:sz w:val="26"/>
              </w:rPr>
              <w:t>Thông tư 23/2014/TT-BVHTTDL sửa đổi Thông tư 02/2010/TT-BVHTTDL</w:t>
            </w:r>
          </w:p>
        </w:tc>
        <w:tc>
          <w:p/>
          <w:p>
            <w:pPr>
              <w:spacing w:after="0" w:before="0" w:lineRule="auto" w:line="276"/>
              <w:jc w:val="left"/>
            </w:pPr>
            <w:r>
              <w:rPr>
                <w:rFonts w:ascii="Times New Roman" w:hAnsi="Times New Roman" w:cs="Times New Roman" w:eastAsia="Times New Roman"/>
                <w:b w:val="false"/>
                <w:sz w:val="26"/>
              </w:rPr>
              <w:t>20-02-2015</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08/2009/NĐ-CP	</w:t>
            </w:r>
          </w:p>
        </w:tc>
        <w:tc>
          <w:p/>
          <w:p>
            <w:pPr>
              <w:spacing w:after="0" w:before="0" w:lineRule="auto" w:line="276"/>
              <w:jc w:val="left"/>
            </w:pPr>
            <w:r>
              <w:rPr>
                <w:rFonts w:ascii="Times New Roman" w:hAnsi="Times New Roman" w:cs="Times New Roman" w:eastAsia="Times New Roman"/>
                <w:b w:val="false"/>
                <w:sz w:val="26"/>
              </w:rPr>
              <w:t>	 Nghị định 08/2009/NĐ-CP Quy định chi tiết và hướng dẫn thi hành một số điều của Luật Phòng, chống bạo lực gia đình</w:t>
            </w:r>
          </w:p>
        </w:tc>
        <w:tc>
          <w:p/>
          <w:p>
            <w:pPr>
              <w:spacing w:after="0" w:before="0" w:lineRule="auto" w:line="276"/>
              <w:jc w:val="left"/>
            </w:pPr>
            <w:r>
              <w:rPr>
                <w:rFonts w:ascii="Times New Roman" w:hAnsi="Times New Roman" w:cs="Times New Roman" w:eastAsia="Times New Roman"/>
                <w:b w:val="false"/>
                <w:sz w:val="26"/>
              </w:rPr>
              <w:t>04-02-2009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02/2007/QH12 </w:t>
            </w:r>
          </w:p>
        </w:tc>
        <w:tc>
          <w:p/>
          <w:p>
            <w:pPr>
              <w:spacing w:after="0" w:before="0" w:lineRule="auto" w:line="276"/>
              <w:jc w:val="left"/>
            </w:pPr>
            <w:r>
              <w:rPr>
                <w:rFonts w:ascii="Times New Roman" w:hAnsi="Times New Roman" w:cs="Times New Roman" w:eastAsia="Times New Roman"/>
                <w:b w:val="false"/>
                <w:sz w:val="26"/>
              </w:rPr>
              <w:t>Luật 02/2007/QH12-Phòng, chống bạo lực gia đình</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02/2010/TT-BVHTTDL</w:t>
            </w:r>
          </w:p>
        </w:tc>
        <w:tc>
          <w:p/>
          <w:p>
            <w:pPr>
              <w:spacing w:after="0" w:before="0" w:lineRule="auto" w:line="276"/>
              <w:jc w:val="left"/>
            </w:pPr>
            <w:r>
              <w:rPr>
                <w:rFonts w:ascii="Times New Roman" w:hAnsi="Times New Roman" w:cs="Times New Roman" w:eastAsia="Times New Roman"/>
                <w:b w:val="false"/>
                <w:sz w:val="26"/>
              </w:rPr>
              <w:t>Thông tư 02/2010/TT-BVHTTDL</w:t>
            </w:r>
          </w:p>
        </w:tc>
        <w:tc>
          <w:p/>
          <w:p>
            <w:pPr>
              <w:spacing w:after="0" w:before="0" w:lineRule="auto" w:line="276"/>
              <w:jc w:val="left"/>
            </w:pPr>
            <w:r>
              <w:rPr>
                <w:rFonts w:ascii="Times New Roman" w:hAnsi="Times New Roman" w:cs="Times New Roman" w:eastAsia="Times New Roman"/>
                <w:b w:val="false"/>
                <w:sz w:val="26"/>
              </w:rPr>
              <w:t>16-03-2010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nơi làm việc cố định, có nguồn kinh phí để đảm bảo hoạt động của cơ sở;
2. Người đứng đầu cơ sở có năng lực hành vi dân sự đầy đủ và không thuộc các trường hợp đang trong thời gian chấp hành bản án, quyết định hình sự của Tòa án hoặc quyết định áp dụng biện pháp giáo dục tại xã, phường, thị trấn, đưa vào cơ sở chữa bệnh, đưa vào cơ sở giáo dục theo quy định của pháp luật về xử lý vi phạm hành chính; 
3. Có nhân viên tư vấn và người làm việc tại cơ sở đáp ứng tiêu chuẩn quy định tại Điều 15 Nghị định số 08/2009/NĐ-CP, gồm các tiêu chuẩn:
a. Có năng lực hành vi dân sự đầy đủ; có phẩm chất đạo đức tốt;
b. Có kiến thức và kinh nghiệm phù hợp với lĩnh vực tư vấn và hỗ trợ nạn nhân;
c. Có chứng chỉ nghiệp vụ chăm sóc nạn nhân bạo lực gia đình.
d. Người làm việc tại cơ sở hỗ trợ nạn nhân bạo lực gia đình phải được tập huấn về phòng, chống bạo lực gia đình.
4. Cơ sở có diện tích tối thiểu là 30m2, có phòng được bố trí là nơi tạm lánh cho nạn nhân bạo lực gia đình, đáp ứng các yêu cầu về vệ sinh, môi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2026-05-10T09:24:59Z</dcterms:created>
  <dc:creator>Apache POI</dc:creator>
</cp:coreProperties>
</file>