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1.003140.000.00.00.H29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của cơ sở tư vấn về phòng, chống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Cơ sở tư vấn về phòng, chống bạo lực gia đình do các tổ chức, cá nhân trong nước thành lập mà không thuộc các trường hợp do Uỷ ban nhân dân cấp tỉnh cấp Giấy chứng nhận đăng ký hoạt động quy định tại khoản 1 Điều 17 Nghị định số 08/2009/NĐ-CP ngày 04/02/2009 của Chính phủ Quy định chi tiết và hướng dẫn thi hành một số điều của Luật Phòng, chống bạo lực gia đình (sau đây viết tắt là Nghị định số 08/2009/NĐ-CP) nộp hồ sơ cho Phòng Văn hoá và Thông tin. </w:t>
      </w:r>
    </w:p>
    <w:p>
      <w:pPr>
        <w:spacing w:after="0" w:before="0" w:lineRule="auto" w:line="276"/>
        <w:jc w:val="both"/>
      </w:pPr>
      <w:r>
        <w:rPr>
          <w:rFonts w:ascii="Times New Roman" w:hAnsi="Times New Roman" w:cs="Times New Roman" w:eastAsia="Times New Roman"/>
          <w:b w:val="false"/>
          <w:sz w:val="26"/>
        </w:rPr>
        <w:t xml:space="preserve">- Phòng Văn hoá và Thông tin tiếp nhận hồ sơ và cấp giấy biên nhận cho bên nộp hồ sơ. </w:t>
      </w:r>
    </w:p>
    <w:p>
      <w:pPr>
        <w:spacing w:after="0" w:before="0" w:lineRule="auto" w:line="276"/>
        <w:jc w:val="both"/>
      </w:pPr>
      <w:r>
        <w:rPr>
          <w:rFonts w:ascii="Times New Roman" w:hAnsi="Times New Roman" w:cs="Times New Roman" w:eastAsia="Times New Roman"/>
          <w:b w:val="false"/>
          <w:sz w:val="26"/>
        </w:rPr>
        <w:t xml:space="preserve">- Trong thời hạn 15 ngày làm việc kể từ ngày nhận đủ hồ sơ hợp lệ, cơ quan nhận hồ sơ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 </w:t>
      </w:r>
    </w:p>
    <w:p>
      <w:pPr>
        <w:spacing w:after="0" w:before="0" w:lineRule="auto" w:line="276"/>
        <w:jc w:val="both"/>
      </w:pPr>
      <w:r>
        <w:rPr>
          <w:rFonts w:ascii="Times New Roman" w:hAnsi="Times New Roman" w:cs="Times New Roman" w:eastAsia="Times New Roman"/>
          <w:b w:val="false"/>
          <w:sz w:val="26"/>
        </w:rPr>
        <w:t>- Trong thời hạn 05 ngày làm việc kể từ khi có kết quả thẩm định, cơ quan thẩm định phải gửi một bộ hồ sơ và biên bản thẩm định cơ sở tư vấn về phòng, chống bạo lực gia đình tới Uỷ ban nhân dân cấp huyện.</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và biên bản thẩm định, Uỷ ban nhân dân cấp huyện có trách nhiệm cấp Giấy chứng nhận đăng ký hoạt động cho cơ sở tư vấn về phòng, chống bạo lực gia đình. Trường hợp từ chối cấp Giấy chứng nhận đăng ký hoạt động thì phải nêu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của cơ sở tư vấn về phòng, chống bạo lực gia đình (theo mẫu số M4a ban hành kèm theo Thông tư số 02/2010/TT-BVHTTDL);</w:t>
            </w:r>
          </w:p>
        </w:tc>
        <w:tc>
          <w:p/>
          <w:p>
            <w:pPr>
              <w:spacing w:after="0" w:before="0" w:lineRule="auto" w:line="276"/>
              <w:jc w:val="left"/>
            </w:pPr>
            <w:r>
              <w:rPr>
                <w:rFonts w:ascii="Times New Roman" w:hAnsi="Times New Roman" w:cs="Times New Roman" w:eastAsia="Times New Roman"/>
                <w:b w:val="false"/>
                <w:sz w:val="26"/>
              </w:rPr>
              <w:t>mẫu số 4a.Đky hoạt động CS PCBLGĐ.docx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của cơ sở tư vấn về phòng, chống bạo lực gia đình. Quy chế phải có các nội dung cơ bản sau:  - Mục tiêu, tên gọi, địa bàn và quy mô hoạt động của cơ sở tư vấn về phòng, chống bạo lực gia đình;  - Cơ cấu tổ chức, mối quan hệ trong chỉ đạo, điều hành của cơ sở tư vấn về phòng, chống bạo lực gia đình;  - Trách nhiệm của người đứng đầu, nhân viên trực tiếp chăm sóc, tư vấn và những người khác làm việc tại cơ sở tư vấn về phòng, chống bạo lực gia đình;  - Trách nhiệm, quyền lợi của người gây bạo lực gia đình khi được tiếp nhận vào cơ sở tư vấn về phòng chống bạo lực gia đình;  - Nguyên tắc quản lý tài sản, tài chính và những quy định có tính chất hành chính phù hợp với đặc điểm của loại hình cơ sở hỗ trợ nạn nhân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bằng văn bản của Uỷ ban nhân dân xã, phường, thị trấn về địa điểm của cơ sở tư vấn về phòng, chống bạo lực gia đình có trụ sở chính hoạt động đặt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về nguồn lực tài chính, gồm những nội dung sau:  - Tình hình tài chính hiện có của cơ sở (bao gồm: tiền mặt, tiền gửi có trong tài khoản tại ngân hàng, kho bạc); nguồn kinh phí nếu nhận từ nguồn tài trợ, cần nêu rõ tên, địa chỉ của tổ chức, cá nhân tài trợ, số tiền, hiện vật và thời gian tài trợ;  - Nguồn tài chính được cam kết đảm bảo cho hoạt động của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đứng đầu cơ sở có xác nhận của Uỷ ban nhân dân cấp xã nơi cư trú hoặc cơ quan quản lý nhà nước quản lý người đứng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làm việc tại cơ sở có xác nhận của người đứng đầu cơ sở, kèm theo bản sao Giấy chứng nhận tập huấn nghiệp vụ tư vấn về phòng, chống bạo lực gia đình (nếu có). Nếu chưa có Giấy chứng nhận tập huấn nghiệp vụ tư vấn về phòng, chống bạo lực gia đình thì trong hồ sơ phải nêu rõ kế hoạch tham gia tập huấn cho người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nơi làm việc cố định, có nguồn kinh phí để đảm bảo hoạt động của cơ sở; 
2. Người đứng đầu cơ sở có năng lực hành vi dân sự đầy đủ và không thuộc các trường hợp đang trong thời gian chấp hành bản án, quyết định hình sự của Tòa án hoặc quyết định áp dụng biện pháp giáo dục tại xã, phường, thị trấn, đưa vào cơ sở chữa bệnh, đưa vào cơ sở giáo dục theo quy định của pháp luật về xử lý vi phạm hành chính; 
3. Có nhân viên tư vấn và người làm việc tại cơ sở đáp ứng tiêu chuẩn quy định tại Điều 15 Nghị định số 08/2009/NĐ-CP, gồm các tiêu chuẩn: 
- Có năng lực hành vi dân sự đầy đủ; có phẩm chất đạo đức tốt;
- Có kiến thức và kinh nghiệm phù hợp với lĩnh vực tư vấn và hỗ trợ nạn nhân;
- Có chứng chỉ nghiệp vụ tư vấn về phòng, chống bạo lực gia đình;
- Người làm việc tại cơ sở tư vấn về phòng, chống bạo lực gia đình phải được tập huấn về phòng, chống bạo lực gia đình.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2026-05-10T09:34:39Z</dcterms:created>
  <dc:creator>Apache POI</dc:creator>
</cp:coreProperties>
</file>