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1.003103.000.00.00.H29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tư vấn về phòng, chống bạo lực gia đình do các tổ chức, cá nhân trong nước thành lập đã được Uỷ ban nhân dân cấp huyện cấp Giấy chứng nhận đăng ký hoạt động nếu bị mất, bị rách hoặc hư hỏng nộp hồ sơ tại Ủy ban nhân dân cấp huyện đề nghị cấp lại Giấy chứng nhận đăng ký hoạt động.</w:t>
      </w:r>
    </w:p>
    <w:p>
      <w:pPr>
        <w:spacing w:after="0" w:before="0" w:lineRule="auto" w:line="276"/>
        <w:jc w:val="both"/>
      </w:pPr>
      <w:r>
        <w:rPr>
          <w:rFonts w:ascii="Times New Roman" w:hAnsi="Times New Roman" w:cs="Times New Roman" w:eastAsia="Times New Roman"/>
          <w:b w:val="false"/>
          <w:sz w:val="26"/>
        </w:rPr>
        <w:t xml:space="preserve"> - 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p>
      <w:pPr>
        <w:spacing w:after="0" w:before="0" w:lineRule="auto" w:line="276"/>
        <w:jc w:val="both"/>
      </w:pPr>
      <w:r>
        <w:rPr>
          <w:rFonts w:ascii="Times New Roman" w:hAnsi="Times New Roman" w:cs="Times New Roman" w:eastAsia="Times New Roman"/>
          <w:b w:val="false"/>
          <w:sz w:val="26"/>
        </w:rPr>
        <w:t>- Cơ sở được cấp lại Giấy chứng nhận đăng ký hoạt động có trách nhiệm thông báo bằng văn bản (kèm theo bản sao Giấy chứng nhận đăng ký hoạt động được cấp lại) cho Phòng Văn hoá, Thông tin để theo dõi,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số M8a.TT23.2014.docx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2026-05-10T09:25:38Z</dcterms:created>
  <dc:creator>Apache POI</dc:creator>
</cp:coreProperties>
</file>