
<file path=[Content_Types].xml><?xml version="1.0" encoding="utf-8"?>
<Types xmlns="http://schemas.openxmlformats.org/package/2006/content-types">
  <Default ContentType="application/vnd.openxmlformats-package.relationships+xml" Extension="rels"/>
  <Default ContentType="application/xml" Extension="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settings+xml" PartName="/word/settings.xml"/>
</Types>
</file>

<file path=_rels/.rels><?xml version="1.0" encoding="UTF-8" standalone="no"?>
<Relationships xmlns="http://schemas.openxmlformats.org/package/2006/relationships">
<Relationship Id="rId1" Target="word/document.xml" Type="http://schemas.openxmlformats.org/officeDocument/2006/relationships/officeDocument"/>
<Relationship Id="rId2" Target="docProps/app.xml" Type="http://schemas.openxmlformats.org/officeDocument/2006/relationships/extended-properties"/>
<Relationship Id="rId3" Target="docProps/core.xml" Type="http://schemas.openxmlformats.org/package/2006/relationships/metadata/core-properties"/>
</Relationships>

</file>

<file path=word/document.xml><?xml version="1.0" encoding="utf-8"?>
<w:document xmlns:w="http://schemas.openxmlformats.org/wordprocessingml/2006/main">
  <w:body>
    <w:p>
      <w:pPr>
        <w:spacing w:after="300" w:before="0" w:lineRule="auto" w:line="276"/>
        <w:jc w:val="center"/>
      </w:pPr>
      <w:r>
        <w:rPr>
          <w:rFonts w:ascii="Times New Roman" w:hAnsi="Times New Roman" w:cs="Times New Roman" w:eastAsia="Times New Roman"/>
          <w:b w:val="true"/>
          <w:sz w:val="26"/>
        </w:rPr>
        <w:t>Chi tiết thủ tục hành chính</w:t>
      </w:r>
    </w:p>
    <w:p>
      <w:pPr>
        <w:spacing w:after="0" w:before="0" w:lineRule="auto" w:line="276"/>
        <w:jc w:val="both"/>
      </w:pPr>
      <w:r>
        <w:rPr>
          <w:rFonts w:ascii="Times New Roman" w:hAnsi="Times New Roman" w:cs="Times New Roman" w:eastAsia="Times New Roman"/>
          <w:b w:val="true"/>
          <w:sz w:val="26"/>
        </w:rPr>
        <w:t xml:space="preserve">Mã thủ tục: </w:t>
      </w:r>
      <w:r>
        <w:rPr>
          <w:rFonts w:ascii="Times New Roman" w:hAnsi="Times New Roman" w:cs="Times New Roman" w:eastAsia="Times New Roman"/>
          <w:b w:val="false"/>
          <w:sz w:val="26"/>
        </w:rPr>
        <w:t>1.000894.000.00.00.H29</w:t>
      </w:r>
    </w:p>
    <w:p>
      <w:pPr>
        <w:spacing w:after="0" w:before="0" w:lineRule="auto" w:line="276"/>
        <w:jc w:val="both"/>
      </w:pPr>
      <w:r>
        <w:rPr>
          <w:rFonts w:ascii="Times New Roman" w:hAnsi="Times New Roman" w:cs="Times New Roman" w:eastAsia="Times New Roman"/>
          <w:b w:val="true"/>
          <w:sz w:val="26"/>
        </w:rPr>
        <w:t xml:space="preserve">Số quyết định: </w:t>
      </w:r>
      <w:r>
        <w:rPr>
          <w:rFonts w:ascii="Times New Roman" w:hAnsi="Times New Roman" w:cs="Times New Roman" w:eastAsia="Times New Roman"/>
          <w:b w:val="false"/>
          <w:sz w:val="26"/>
        </w:rPr>
        <w:t>1016/QĐ-UBND</w:t>
      </w:r>
    </w:p>
    <w:p>
      <w:pPr>
        <w:spacing w:after="0" w:before="0" w:lineRule="auto" w:line="276"/>
        <w:jc w:val="both"/>
      </w:pPr>
      <w:r>
        <w:rPr>
          <w:rFonts w:ascii="Times New Roman" w:hAnsi="Times New Roman" w:cs="Times New Roman" w:eastAsia="Times New Roman"/>
          <w:b w:val="true"/>
          <w:sz w:val="26"/>
        </w:rPr>
        <w:t xml:space="preserve">Tên thủ tục: </w:t>
      </w:r>
      <w:r>
        <w:rPr>
          <w:rFonts w:ascii="Times New Roman" w:hAnsi="Times New Roman" w:cs="Times New Roman" w:eastAsia="Times New Roman"/>
          <w:b w:val="false"/>
          <w:sz w:val="26"/>
        </w:rPr>
        <w:t>Thủ tục đăng ký kết hôn</w:t>
      </w:r>
    </w:p>
    <w:p>
      <w:pPr>
        <w:spacing w:after="0" w:before="0" w:lineRule="auto" w:line="276"/>
        <w:jc w:val="both"/>
      </w:pPr>
      <w:r>
        <w:rPr>
          <w:rFonts w:ascii="Times New Roman" w:hAnsi="Times New Roman" w:cs="Times New Roman" w:eastAsia="Times New Roman"/>
          <w:b w:val="true"/>
          <w:sz w:val="26"/>
        </w:rPr>
        <w:t xml:space="preserve">Cấp thực hiện: </w:t>
      </w:r>
      <w:r>
        <w:rPr>
          <w:rFonts w:ascii="Times New Roman" w:hAnsi="Times New Roman" w:cs="Times New Roman" w:eastAsia="Times New Roman"/>
          <w:b w:val="false"/>
          <w:sz w:val="26"/>
        </w:rPr>
        <w:t>Cấp Xã</w:t>
      </w:r>
    </w:p>
    <w:p>
      <w:pPr>
        <w:spacing w:after="0" w:before="0" w:lineRule="auto" w:line="276"/>
        <w:jc w:val="both"/>
      </w:pPr>
      <w:r>
        <w:rPr>
          <w:rFonts w:ascii="Times New Roman" w:hAnsi="Times New Roman" w:cs="Times New Roman" w:eastAsia="Times New Roman"/>
          <w:b w:val="true"/>
          <w:sz w:val="26"/>
        </w:rPr>
        <w:t xml:space="preserve">Loại thủ tục: </w:t>
      </w:r>
      <w:r>
        <w:rPr>
          <w:rFonts w:ascii="Times New Roman" w:hAnsi="Times New Roman" w:cs="Times New Roman" w:eastAsia="Times New Roman"/>
          <w:b w:val="false"/>
          <w:sz w:val="26"/>
        </w:rPr>
        <w:t>TTHC được luật giao quy định chi tiết</w:t>
      </w:r>
    </w:p>
    <w:p>
      <w:pPr>
        <w:spacing w:after="0" w:before="0" w:lineRule="auto" w:line="276"/>
        <w:jc w:val="both"/>
      </w:pPr>
      <w:r>
        <w:rPr>
          <w:rFonts w:ascii="Times New Roman" w:hAnsi="Times New Roman" w:cs="Times New Roman" w:eastAsia="Times New Roman"/>
          <w:b w:val="true"/>
          <w:sz w:val="26"/>
        </w:rPr>
        <w:t xml:space="preserve">Lĩnh vực: </w:t>
      </w:r>
      <w:r>
        <w:rPr>
          <w:rFonts w:ascii="Times New Roman" w:hAnsi="Times New Roman" w:cs="Times New Roman" w:eastAsia="Times New Roman"/>
          <w:b w:val="false"/>
          <w:sz w:val="26"/>
        </w:rPr>
        <w:t>Hộ tịch</w:t>
      </w:r>
    </w:p>
    <w:p>
      <w:pPr>
        <w:spacing w:after="0" w:before="0" w:lineRule="auto" w:line="276"/>
        <w:jc w:val="both"/>
      </w:pPr>
      <w:r>
        <w:rPr>
          <w:rFonts w:ascii="Times New Roman" w:hAnsi="Times New Roman" w:cs="Times New Roman" w:eastAsia="Times New Roman"/>
          <w:b w:val="true"/>
          <w:sz w:val="26"/>
        </w:rPr>
        <w:t xml:space="preserve">Trình tự thực hiện: </w:t>
      </w:r>
    </w:p>
    <w:p>
      <w:pPr>
        <w:shd w:val="clear" w:color="auto" w:fill="F2F6F9"/>
        <w:spacing w:after="0" w:before="120" w:lineRule="auto" w:line="276"/>
        <w:jc w:val="both"/>
      </w:pPr>
      <w:r>
        <w:rPr>
          <w:rFonts w:ascii="Times New Roman" w:hAnsi="Times New Roman" w:cs="Times New Roman" w:eastAsia="Times New Roman"/>
          <w:b w:val="true"/>
          <w:sz w:val="26"/>
        </w:rPr>
        <w:t>Lưu ý</w:t>
      </w:r>
    </w:p>
    <w:p>
      <w:pPr>
        <w:spacing w:after="0" w:before="0" w:lineRule="auto" w:line="276"/>
        <w:jc w:val="both"/>
      </w:pPr>
      <w:r>
        <w:rPr>
          <w:rFonts w:ascii="Times New Roman" w:hAnsi="Times New Roman" w:cs="Times New Roman" w:eastAsia="Times New Roman"/>
          <w:b w:val="false"/>
          <w:sz w:val="26"/>
        </w:rPr>
        <w:t>Trường hợp người yêu cầu nộp giấy tờ là bản sao được cấp từ sổ gốc hoặc bản sao được chứng thực từ bản chính thì người tiếp nhận hồ sơ không được yêu cầu xuất trình bản chính; nếu người yêu cầu chỉ nộp bản chụp và xuất trình bản chính thì người tiếp nhận hồ sơ kiểm tra, đối chiếu bản chụp với bản chính và ký vào bản chụp xác nhận về việc đã đối chiếu nội dung giấy tờ đó, không được yêu cầu người đi đăng ký nộp bản sao có chứng thực giấy tờ đó</w:t>
      </w:r>
    </w:p>
    <w:p>
      <w:pPr>
        <w:spacing w:after="0" w:before="0" w:lineRule="auto" w:line="276"/>
        <w:jc w:val="both"/>
      </w:pPr>
      <w:r>
        <w:rPr>
          <w:rFonts w:ascii="Times New Roman" w:hAnsi="Times New Roman" w:cs="Times New Roman" w:eastAsia="Times New Roman"/>
          <w:b w:val="false"/>
          <w:sz w:val="26"/>
        </w:rPr>
        <w:t>Trường hợp pháp luật quy định xuất trình giấy tờ khi đăng ký hộ tịch, người tiếp nhận có trách nhiệm kiểm tra giấy tờ xuất trình, đối chiếu với thông tin trong Tờ khai và trả lại cho người xuất trình, không được yêu cầu người đăng ký hộ tịch nộp thêm bản sao giấy tờ đó. Người tiếp nhận có thể chụp 01 bản giấy tờ xuất trình hoặc ghi lại thông tin của giấy tờ xuất trình để lưu hồ sơ</w:t>
      </w:r>
    </w:p>
    <w:p>
      <w:pPr>
        <w:spacing w:after="0" w:before="0" w:lineRule="auto" w:line="276"/>
        <w:jc w:val="both"/>
      </w:pPr>
      <w:r>
        <w:rPr>
          <w:rFonts w:ascii="Times New Roman" w:hAnsi="Times New Roman" w:cs="Times New Roman" w:eastAsia="Times New Roman"/>
          <w:b w:val="false"/>
          <w:sz w:val="26"/>
        </w:rPr>
        <w:t>Người tiếp nhận có trách nhiệm tiếp nhận đúng, đủ hồ sơ đăng ký hộ tịch theo quy định của pháp luật hộ tịch, không được yêu cầu người đăng ký hộ tịch nộp thêm giấy tờ mà pháp luật hộ tịch không quy định phải nộp</w:t>
      </w:r>
    </w:p>
    <w:p>
      <w:pPr>
        <w:shd w:val="clear" w:color="auto" w:fill="F2F6F9"/>
        <w:spacing w:after="0" w:before="120" w:lineRule="auto" w:line="276"/>
        <w:jc w:val="both"/>
      </w:pPr>
      <w:r>
        <w:rPr>
          <w:rFonts w:ascii="Times New Roman" w:hAnsi="Times New Roman" w:cs="Times New Roman" w:eastAsia="Times New Roman"/>
          <w:b w:val="true"/>
          <w:sz w:val="26"/>
        </w:rPr>
        <w:t/>
      </w:r>
    </w:p>
    <w:p>
      <w:pPr>
        <w:spacing w:after="0" w:before="0" w:lineRule="auto" w:line="276"/>
        <w:jc w:val="both"/>
      </w:pPr>
      <w:r>
        <w:rPr>
          <w:rFonts w:ascii="Times New Roman" w:hAnsi="Times New Roman" w:cs="Times New Roman" w:eastAsia="Times New Roman"/>
          <w:b w:val="false"/>
          <w:sz w:val="26"/>
        </w:rPr>
        <w:t>Bước 1: Người có yêu cầu đăng ký kết hôn nộp hồ sơ trực tiếp đến Bộ phận tiếp nhận và trả kết quả của Ủy ban nhân dân phường, xã, thị trấn nơi người đăng ký kết hôn cư trú, từ thứ hai đến thứ sáu (buổi sáng từ 07 giờ 30 phút đến 11giờ 30 phút, buổi chiều từ 13g 00 đến 17giờ 00) và sáng thứ bảy (từ 07 giờ 30 phút đến 11giờ 30 phút)</w:t>
      </w:r>
    </w:p>
    <w:p>
      <w:pPr>
        <w:spacing w:after="0" w:before="0" w:lineRule="auto" w:line="276"/>
        <w:jc w:val="both"/>
      </w:pPr>
      <w:r>
        <w:rPr>
          <w:rFonts w:ascii="Times New Roman" w:hAnsi="Times New Roman" w:cs="Times New Roman" w:eastAsia="Times New Roman"/>
          <w:b w:val="false"/>
          <w:sz w:val="26"/>
        </w:rPr>
        <w:t>Bước 2: Bộ phận tiếp nhận và trả kết quả của Ủy ban nhân dân phường, xã, thị trấn tiếp nhận hồ sơ, kiểm tra tính hợp lệ và đầy đủ của các giấy tờ có trong hồ sơ:
+ Trường hợp hồ sơ đầy đủ hợp lệ, công chức tiếp nhận và xử lý hồ sơ theo quy định;
Trường hợp tiếp nhận hồ sơ sau 15 giờ mà Ủy ban nhân dân phường, xã, thị trấn không thể giải quyết và trả kết quả ngay trong ngày thì người tiếp nhận hồ sơ phải có phiếu hẹn ghi rõ thời gian (giờ, ngày) trả kết quả cho người nộp hồ sơ.
+ Trường hợp hồ sơ chưa đầy đủ, chưa hợp lệ, công chức được phân công tiếp nhận hướng dẫn bằng văn bản cho người nộp hồ sơ bổ sung và hoàn thiện hồ sơ theo quy định
</w:t>
      </w:r>
    </w:p>
    <w:p>
      <w:pPr>
        <w:spacing w:after="0" w:before="0" w:lineRule="auto" w:line="276"/>
        <w:jc w:val="both"/>
      </w:pPr>
      <w:r>
        <w:rPr>
          <w:rFonts w:ascii="Times New Roman" w:hAnsi="Times New Roman" w:cs="Times New Roman" w:eastAsia="Times New Roman"/>
          <w:b w:val="false"/>
          <w:sz w:val="26"/>
        </w:rPr>
        <w:t>phường, xã, thị trấn ký Giấy chứng nhận kết hôn cho người đi đăng ký. Trường hợp từ chối, thông báo bằng văn bản, có nêu rõ lý do.
Trường hợp cần xác minh điều kiện kết hôn của hai bên nam, nữ thì thời hạn giải quyết không quá 05 ngày làm việc.
Khi đăng ký kết hôn cả hai bên nam, nữ phải có mặt tại trụ sở Ủy ban nhân dân phường, xã, thị trấn, công chức Tư pháp-Hộ tịch hỏi ý kiến hai bên nam, nữ, nếu các bên tự nguyện kết hôn thì ghi việc kết hôn vào Sổ hộ tịch, cùng hai bên nam, nữ ký tên vào Sổ hộ tịch. Hai bên nam, nữ cùng ký vào Giấy chứng nhận kết hôn. Chủ tịch Ủy ban nhân dân phường, xã, thị trấn trao Giấy chứng nhận kết hôn cho hai bên nam, nữ.
</w:t>
      </w:r>
    </w:p>
    <w:p>
      <w:pPr>
        <w:spacing w:after="0" w:before="240" w:lineRule="auto" w:line="276"/>
        <w:jc w:val="both"/>
      </w:pPr>
      <w:r>
        <w:rPr>
          <w:rFonts w:ascii="Times New Roman" w:hAnsi="Times New Roman" w:cs="Times New Roman" w:eastAsia="Times New Roman"/>
          <w:b w:val="true"/>
          <w:sz w:val="26"/>
        </w:rPr>
        <w:t xml:space="preserve">Cách thức thực hiện: </w:t>
      </w:r>
    </w:p>
    <w:tbl>
      <w:tblPr>
        <w:tblW w:w="0" w:type="auto"/>
        <w:tblBorders>
          <w:top w:val="single"/>
          <w:left w:val="single"/>
          <w:bottom w:val="single"/>
          <w:right w:val="single"/>
          <w:insideH w:val="single"/>
          <w:insideV w:val="single"/>
        </w:tblBorders>
      </w:tblPr>
      <w:tr>
        <w:tc>
          <w:tcPr>
            <w:tcW w:w="1500"/>
          </w:tcPr>
          <w:p/>
          <w:p>
            <w:pPr>
              <w:spacing w:after="0" w:before="0" w:lineRule="auto" w:line="276"/>
              <w:jc w:val="center"/>
            </w:pPr>
            <w:r>
              <w:rPr>
                <w:rFonts w:ascii="Times New Roman" w:hAnsi="Times New Roman" w:cs="Times New Roman" w:eastAsia="Times New Roman"/>
                <w:b w:val="true"/>
                <w:sz w:val="26"/>
              </w:rPr>
              <w:t>Hình thức nộp</w:t>
            </w:r>
          </w:p>
        </w:tc>
        <w:tc>
          <w:tcPr>
            <w:tcW w:w="2000"/>
          </w:tcPr>
          <w:p/>
          <w:p>
            <w:pPr>
              <w:spacing w:after="0" w:before="0" w:lineRule="auto" w:line="276"/>
              <w:jc w:val="center"/>
            </w:pPr>
            <w:r>
              <w:rPr>
                <w:rFonts w:ascii="Times New Roman" w:hAnsi="Times New Roman" w:cs="Times New Roman" w:eastAsia="Times New Roman"/>
                <w:b w:val="true"/>
                <w:sz w:val="26"/>
              </w:rPr>
              <w:t>Thời hạn giải quyết</w:t>
            </w:r>
          </w:p>
        </w:tc>
        <w:tc>
          <w:tcPr>
            <w:tcW w:w="3500"/>
          </w:tcPr>
          <w:p/>
          <w:p>
            <w:pPr>
              <w:spacing w:after="0" w:before="0" w:lineRule="auto" w:line="276"/>
              <w:jc w:val="center"/>
            </w:pPr>
            <w:r>
              <w:rPr>
                <w:rFonts w:ascii="Times New Roman" w:hAnsi="Times New Roman" w:cs="Times New Roman" w:eastAsia="Times New Roman"/>
                <w:b w:val="true"/>
                <w:sz w:val="26"/>
              </w:rPr>
              <w:t>Phí, lệ phí</w:t>
            </w:r>
          </w:p>
        </w:tc>
        <w:tc>
          <w:tcPr>
            <w:tcW w:w="3000"/>
          </w:tcPr>
          <w:p/>
          <w:p>
            <w:pPr>
              <w:spacing w:after="0" w:before="0" w:lineRule="auto" w:line="276"/>
              <w:jc w:val="center"/>
            </w:pPr>
            <w:r>
              <w:rPr>
                <w:rFonts w:ascii="Times New Roman" w:hAnsi="Times New Roman" w:cs="Times New Roman" w:eastAsia="Times New Roman"/>
                <w:b w:val="true"/>
                <w:sz w:val="26"/>
              </w:rPr>
              <w:t>Mô tả</w:t>
            </w:r>
          </w:p>
        </w:tc>
      </w:tr>
      <w:tr>
        <w:tc>
          <w:p/>
          <w:p>
            <w:pPr>
              <w:spacing w:after="0" w:before="0" w:lineRule="auto" w:line="276"/>
              <w:jc w:val="left"/>
            </w:pPr>
            <w:r>
              <w:rPr>
                <w:rFonts w:ascii="Times New Roman" w:hAnsi="Times New Roman" w:cs="Times New Roman" w:eastAsia="Times New Roman"/>
                <w:b w:val="false"/>
                <w:sz w:val="26"/>
              </w:rPr>
              <w:t>Trực tiếp</w:t>
            </w:r>
          </w:p>
        </w:tc>
        <w:tc>
          <w:p/>
          <w:p>
            <w:pPr>
              <w:spacing w:after="0" w:before="0" w:lineRule="auto" w:line="276"/>
              <w:jc w:val="left"/>
            </w:pPr>
            <w:r>
              <w:rPr>
                <w:rFonts w:ascii="Times New Roman" w:hAnsi="Times New Roman" w:cs="Times New Roman" w:eastAsia="Times New Roman"/>
                <w:b w:val="false"/>
                <w:sz w:val="26"/>
              </w:rPr>
              <w:t xml:space="preserve">Ngay trong ngày tiếp nhận hồ sơ; trường hợp nhận hồ sơ sau 15 giờ mà không giải quyết được ngay thì trả kết quả trong ngày làm việc tiếp theo.Trường hợp cần xác minh điều kiện kết hôn của hai bên nam, nữ thì thời hạn giải quyết không quá 05 ngày làm việc. </w:t>
            </w:r>
          </w:p>
        </w:tc>
        <w:tc>
          <w:p/>
          <w:p>
            <w:pPr>
              <w:spacing w:after="0" w:before="0" w:lineRule="auto" w:line="276"/>
              <w:jc w:val="left"/>
            </w:pPr>
            <w:r>
              <w:rPr>
                <w:rFonts w:ascii="Times New Roman" w:hAnsi="Times New Roman" w:cs="Times New Roman" w:eastAsia="Times New Roman"/>
                <w:b w:val="false"/>
                <w:sz w:val="26"/>
              </w:rPr>
              <w:t>Phí :  Đồng</w:t>
              <w:t xml:space="preserve"> (miễn phí)</w:t>
            </w:r>
          </w:p>
          <w:p>
            <w:pPr>
              <w:spacing w:after="0" w:before="0" w:lineRule="auto" w:line="276"/>
              <w:jc w:val="left"/>
            </w:pPr>
            <w:r>
              <w:rPr>
                <w:rFonts w:ascii="Times New Roman" w:hAnsi="Times New Roman" w:cs="Times New Roman" w:eastAsia="Times New Roman"/>
                <w:b w:val="false"/>
                <w:sz w:val="26"/>
              </w:rPr>
              <w:t>Phí : 8000 Đồng</w:t>
              <w:t xml:space="preserve"> (Phí cấp bản sao Trích lục kết hôn (nếu có yêu cầu): 8.000 đồng/bản sao Trích lục/sự kiện hộ tịch đã đăng ký (thực hiện theo quy định tại Thông tư số 281/2016/TT-BTC ngày 14/11/2016 của Bộ Tài chính).)</w:t>
            </w:r>
          </w:p>
        </w:tc>
        <w:tc>
          <w:p/>
          <w:p>
            <w:pPr>
              <w:spacing w:after="0" w:before="0" w:lineRule="auto" w:line="276"/>
              <w:jc w:val="left"/>
            </w:pPr>
            <w:r>
              <w:rPr>
                <w:rFonts w:ascii="Times New Roman" w:hAnsi="Times New Roman" w:cs="Times New Roman" w:eastAsia="Times New Roman"/>
                <w:b w:val="false"/>
                <w:sz w:val="26"/>
              </w:rPr>
              <w:t>.</w:t>
            </w:r>
          </w:p>
        </w:tc>
      </w:tr>
      <w:tr>
        <w:tc>
          <w:p/>
          <w:p>
            <w:pPr>
              <w:spacing w:after="0" w:before="0" w:lineRule="auto" w:line="276"/>
              <w:jc w:val="left"/>
            </w:pPr>
            <w:r>
              <w:rPr>
                <w:rFonts w:ascii="Times New Roman" w:hAnsi="Times New Roman" w:cs="Times New Roman" w:eastAsia="Times New Roman"/>
                <w:b w:val="false"/>
                <w:sz w:val="26"/>
              </w:rPr>
              <w:t>Trực tuyến</w:t>
            </w:r>
          </w:p>
        </w:tc>
        <w:tc>
          <w:p/>
          <w:p>
            <w:pPr>
              <w:spacing w:after="0" w:before="0" w:lineRule="auto" w:line="276"/>
              <w:jc w:val="left"/>
            </w:pPr>
            <w:r>
              <w:rPr>
                <w:rFonts w:ascii="Times New Roman" w:hAnsi="Times New Roman" w:cs="Times New Roman" w:eastAsia="Times New Roman"/>
                <w:b w:val="false"/>
                <w:sz w:val="26"/>
              </w:rPr>
              <w:t xml:space="preserve">Trong ngày tiếp nhận hồ sơ; trường hợp nhận hồ sơ sau 15 giờ mà không giải quyết được ngay thì trả kết quả trong ngày làm việc tiếp theo. Trường hợp cần xác minh điều kiện kết hôn của hai bên nam, nữ thì thời hạn giải quyết không quá 05 ngày làm việc </w:t>
            </w:r>
          </w:p>
        </w:tc>
        <w:tc>
          <w:p/>
          <w:p>
            <w:pPr>
              <w:spacing w:after="0" w:before="0" w:lineRule="auto" w:line="276"/>
              <w:jc w:val="left"/>
            </w:pPr>
            <w:r>
              <w:rPr>
                <w:rFonts w:ascii="Times New Roman" w:hAnsi="Times New Roman" w:cs="Times New Roman" w:eastAsia="Times New Roman"/>
                <w:b w:val="false"/>
                <w:sz w:val="26"/>
              </w:rPr>
              <w:t>Phí : 8000 Đồng</w:t>
              <w:t xml:space="preserve"> (- Miễn lệ phí. - Phí cấp bản sao Trích lục kết hôn (nếu có yêu cầu): 8.000 đồng/bản sao Trích lục/sự kiện hộ tịch đã đăng ký (thực hiện theo quy định tại Thông tư số 281/2016/TT-BTC ngày 14/11/2016 của Bộ trưởng Bộ Tài chính).)</w:t>
            </w:r>
          </w:p>
        </w:tc>
        <w:tc>
          <w:p/>
          <w:p>
            <w:pPr>
              <w:spacing w:after="0" w:before="0" w:lineRule="auto" w:line="276"/>
              <w:jc w:val="left"/>
            </w:pPr>
            <w:r>
              <w:rPr>
                <w:rFonts w:ascii="Times New Roman" w:hAnsi="Times New Roman" w:cs="Times New Roman" w:eastAsia="Times New Roman"/>
                <w:b w:val="false"/>
                <w:sz w:val="26"/>
              </w:rPr>
              <w:t>.</w:t>
            </w:r>
          </w:p>
        </w:tc>
      </w:tr>
      <w:tr>
        <w:tc>
          <w:p/>
          <w:p>
            <w:pPr>
              <w:spacing w:after="0" w:before="0" w:lineRule="auto" w:line="276"/>
              <w:jc w:val="left"/>
            </w:pPr>
            <w:r>
              <w:rPr>
                <w:rFonts w:ascii="Times New Roman" w:hAnsi="Times New Roman" w:cs="Times New Roman" w:eastAsia="Times New Roman"/>
                <w:b w:val="false"/>
                <w:sz w:val="26"/>
              </w:rPr>
              <w:t>Dịch vụ bưu chính</w:t>
            </w:r>
          </w:p>
        </w:tc>
        <w:tc>
          <w:p/>
          <w:p>
            <w:pPr>
              <w:spacing w:after="0" w:before="0" w:lineRule="auto" w:line="276"/>
              <w:jc w:val="left"/>
            </w:pPr>
            <w:r>
              <w:rPr>
                <w:rFonts w:ascii="Times New Roman" w:hAnsi="Times New Roman" w:cs="Times New Roman" w:eastAsia="Times New Roman"/>
                <w:b w:val="false"/>
                <w:sz w:val="26"/>
              </w:rPr>
              <w:t xml:space="preserve">Trong ngày tiếp nhận hồ sơ; trường hợp nhận hồ sơ sau 15 giờ mà không giải quyết được ngay thì trả kết quả trong ngày làm việc tiếp theo. Trường hợp cần xác minh điều kiện kết hôn của hai bên nam, nữ thì thời hạn giải quyết không quá 05 ngày làm việc </w:t>
            </w:r>
          </w:p>
        </w:tc>
        <w:tc>
          <w:p/>
          <w:p>
            <w:pPr>
              <w:spacing w:after="0" w:before="0" w:lineRule="auto" w:line="276"/>
              <w:jc w:val="left"/>
            </w:pPr>
            <w:r>
              <w:rPr>
                <w:rFonts w:ascii="Times New Roman" w:hAnsi="Times New Roman" w:cs="Times New Roman" w:eastAsia="Times New Roman"/>
                <w:b w:val="false"/>
                <w:sz w:val="26"/>
              </w:rPr>
              <w:t>Phí : 8000 Đồng</w:t>
              <w:t xml:space="preserve"> (- Miễn lệ phí. - Phí cấp bản sao Trích lục kết hôn (nếu có yêu cầu): 8.000 đồng/bản sao Trích lục/sự kiện hộ tịch đã đăng ký (thực hiện theo quy định tại Thông tư số 281/2016/TT-BTC ngày 14/11/2016 của Bộ trưởng Bộ Tài chính).)</w:t>
            </w:r>
          </w:p>
        </w:tc>
        <w:tc>
          <w:p/>
          <w:p>
            <w:pPr>
              <w:spacing w:after="0" w:before="0" w:lineRule="auto" w:line="276"/>
              <w:jc w:val="left"/>
            </w:pPr>
            <w:r>
              <w:rPr>
                <w:rFonts w:ascii="Times New Roman" w:hAnsi="Times New Roman" w:cs="Times New Roman" w:eastAsia="Times New Roman"/>
                <w:b w:val="false"/>
                <w:sz w:val="26"/>
              </w:rPr>
              <w:t>.</w:t>
            </w:r>
          </w:p>
        </w:tc>
      </w:tr>
    </w:tbl>
    <w:p>
      <w:pPr>
        <w:spacing w:after="0" w:before="240" w:lineRule="auto" w:line="276"/>
        <w:jc w:val="both"/>
      </w:pPr>
      <w:r>
        <w:rPr>
          <w:rFonts w:ascii="Times New Roman" w:hAnsi="Times New Roman" w:cs="Times New Roman" w:eastAsia="Times New Roman"/>
          <w:b w:val="true"/>
          <w:sz w:val="26"/>
        </w:rPr>
        <w:t xml:space="preserve">Thành phần hồ sơ: </w:t>
      </w:r>
    </w:p>
    <w:p>
      <w:pPr>
        <w:shd w:val="clear" w:color="auto" w:fill="F2F6F9"/>
        <w:spacing w:after="0" w:before="120" w:lineRule="auto" w:line="276"/>
        <w:jc w:val="both"/>
      </w:pPr>
      <w:r>
        <w:rPr>
          <w:rFonts w:ascii="Times New Roman" w:hAnsi="Times New Roman" w:cs="Times New Roman" w:eastAsia="Times New Roman"/>
          <w:b w:val="true"/>
          <w:sz w:val="26"/>
        </w:rPr>
        <w:t>* Giấy tờ phải xuất trình:</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 Giấy tờ có giá trị chứng minh thông tin về cư trú trong trường hợp cơ quan đăng ký hộ tịch không thể khai thác được thông tin về nơi cư trú của công dân theo các phương thức quy định tại khoản 2 Điều 14 Nghị định số 104/2022/NĐ-CP ngày 21/12/2022 của Chính phủ. Trường hợp các thông tin về giấy tờ chứng minh nơi cư trú đã được khai thác từ Cơ sở dữ liệu quốc gia về dân cư bằng các phương thức này thì người có yêu cầu không phải xuất trình (theo hình thức trực tiếp) hoặc tải lên (theo hình thức trực tuyến).</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Hộ chiếu/Thẻ căn cước công dân/Thẻ căn cước/Căn cước điện tử/Giấy chứng nhận căn cước hoặc các giấy tờ khác có dán ảnh và thông tin cá nhân do cơ quan có thẩm quyền cấp, còn giá trị sử dụng (sau đây gọi tắt là giấy tờ tùy thân) để chứng minh về nhân thân khi làm thủ tục trực tiếp tại cơ quan đăng ký hộ tịch.</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Trường hợp giấy tờ tùy thân sử dụng là: Hộ chiếu, Thẻ căn cước, Căn cước công dân, Giấy chứng nhận căn cước thì người có yêu cầu đăng ký hộ tịch chỉ cần cung cấp thông tin số định danh cá nhân hoặc thông tin về giấy tờ (số, ngày/tháng/năm cấp), cơ quan đăng ký hộ tịch có trách nhiệm tra cứu thông tin thông qua kết nối với Cơ sở dữ liệu hộ tịch điện tử, Cơ sở dữ liệu quốc gia về dân cư hoặc cơ sở dữ liệu khác có liên quan để đối chiếu, khai thác dữ liệu.</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Trường hợp không khai thác được thông tin hoặc thông tin khai thác được không đầy đủ, không chính xác thì cơ quan đăng ký hộ tịch yêu cầu người đi đăng ký hộ tịch xuất trình bản chính giấy tờ để chứng minh, đồng thời đề nghị người đi đăng ký hộ tịch cập nhật, điều chỉnh thông tin trong các cơ sở dữ liệu theo quy định của pháp luật.</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Trường hợp các thông tin cá nhân trong các giấy tờ này đã có trong Cơ sở dữ liệu quốc gia về dân cư, Cơ sở dữ liệu hộ tịch điện tử, được hệ thống điền tự động thì không phải tải lên (theo hình thức trực tuyến)</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Trường hợp gửi hồ sơ qua hệ thống bưu chính thì phải gửi kèm theo bản sao có chứng thực các giấy tờ phải xuất trình nêu trên.</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0</w:t>
            </w:r>
          </w:p>
        </w:tc>
      </w:tr>
    </w:tbl>
    <w:p>
      <w:pPr>
        <w:shd w:val="clear" w:color="auto" w:fill="F2F6F9"/>
        <w:spacing w:after="0" w:before="120" w:lineRule="auto" w:line="276"/>
        <w:jc w:val="both"/>
      </w:pPr>
      <w:r>
        <w:rPr>
          <w:rFonts w:ascii="Times New Roman" w:hAnsi="Times New Roman" w:cs="Times New Roman" w:eastAsia="Times New Roman"/>
          <w:b w:val="true"/>
          <w:sz w:val="26"/>
        </w:rPr>
        <w:t>* Lưu ý :</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 Cá nhân có quyền lựa chọn thực hiện thủ tục hành chính về hộ tịch tại cơ quan đăng ký hộ tịch nơi cư trú; nơi cư trú của cá nhân được xác định theo quy định của pháp luật về cư trú. Trường hợp cá nhân lựa chọn thực hiện thủ tục hành chính về hộ tịch không phải tại Ủy ban nhân dân cấp xã nơi thường trú hoặc nơi tạm trú thì Ủy ban nhân dân cấp xã nơi tiếp nhận yêu cầu có trách nhiệm hỗ trợ người dân nộp hồ sơ đăng ký hộ tịch trực tuyến đến đúng cơ quan có thẩm quyền theo quy định.</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Đối với yêu cầu đăng ký kết hôn, cơ quan đăng ký hộ tịch tra cứu thông tin về tình trạng hôn nhân của người yêu cầu đăng ký kết hôn trên Hệ thống thông tin giải quyết thủ tục hành chính cấp tỉnh thông qua kết nối với Cơ sở dữ liệu hộ tịch điện tử, Cơ sở dữ liệu quốc gia về dân cư. Kết quả tra cứu được lưu trữ dưới dạng điện tử hoặc bản giấy, phản ánh đầy đủ, chính xác thông tin tại thời điểm tra cứu và đính kèm hồ sơ của người đăng ký. Trường hợp không tra cứu được tình trạng hôn nhân do chưa có thông tin trong Cơ sở dữ liệu hộ tịch điện tử, Cơ sở dữ liệu quốc gia về dân cư, thì cơ quan đăng ký hộ tịch đề nghị Ủy ban nhân dân cấp xã nơi người yêu cầu thường trú/nơi đã đăng ký kết hôn xác minh, cung cấp thông tin. Trong thời hạn 03 ngày làm việc kể từ ngày nhận được yêu cầu xác minh, Ủy ban nhân dân cấp xã nơi nhận được đề nghị xác minh có trách nhiệm kiểm tra, xác minh và gửi kết quả về tình trạng hôn nhân của người đó.</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Nếu bên kết hôn là công dân Việt Nam đã ly hôn hoặc hủy việc kết hôn tại cơ quan có thẩm quyền nước ngoài nhưng qua tra cứu thông tin trong Cơ sở dữ liệu hộ tịch điện tử; thông qua kết nối giữa Hệ thống thông tin giải quyết thủ tục hành chính cấp tỉnh với Cơ sở dữ liệu hộ tịch điện tử, Cơ sở dữ liệu quốc gia về dân cư không thể hiện thông tin về việc đã ghi chú ly hôn, hủy việc kết hôn thì cơ quan đăng ký hộ tịch hướng dẫn công dân thực hiện thủ tục ghi vào sổ hộ tịch việc ly hôn/hủy việc kết hôn tại cơ quan nhà nước có thẩm quyền trước khi giải quyết việc đăng ký kết hôn.</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Đối với giấy tờ nộp, xuất trình nếu người yêu cầu nộp hồ sơ theo hình thức trực tiếp:</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Người yêu cầu đăng ký hộ tịch có thể nộp bản sao được chứng thực từ bản chính hoặc bản sao được cấp từ sổ gốc (sau đây gọi là bản sao) hoặc bản chụp kèm theo bản chính, bản điện tử các giấy tờ này, bao gồm cả giấy tờ được tích hợp, hiển thị trên Ứng dụng định danh điện tử (VneID).</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Trường hợp người yêu cầu nộp bản chụp kèm theo bản chính giấy tờ thì người tiếp nhận có trách nhiệm kiểm tra, đối chiếu bản chụp với bản chính và ký xác nhận, không được yêu cầu nộp bản sao giấy tờ đó.</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Đối với giấy tờ xuất trình khi đăng ký hộ tịch, người tiếp nhận có trách nhiệm kiểm tra, đối chiếu với thông tin trong tờ khai, chụp lại hoặc ghi lại thông tin để lưu trong hồ sơ và trả lại cho người xuất trình, không được yêu cầu nộp bản sao hoặc bản chụp giấy tờ đó.</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Người tiếp nhận có trách nhiệm tiếp nhận đúng, đủ hồ sơ đăng ký hộ tịch theo quy định của pháp luật hộ tịch, không được yêu cầu người đăng ký hộ tịch nộp thêm giấy tờ mà pháp luật hộ tịch không quy định phải nộp .</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Người tiếp nhận hồ sơ thực hiện khai thác thông tin trong CSDLQGVDC theo quy định pháp luật nếu người yêu cầu đăng ký hộ tịch đã cung cấp họ, chữ đệm, tên; ngày, tháng, năm sinh; số định danh cá nhân/thẻ căn cước công dân/thẻ căn cước/căn cước điện tử. Trường hợp các thông tin cần khai thác không có trong CSDLQGVDC thì đề nghị người yêu cầu kê khai đầy đủ.</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Đối với giấy tờ gửi kèm theo nếu người yêu cầu nộp hồ sơ theo hình thức trực tuyến:</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Bản chụp các giấy tờ gửi kèm theo hồ sơ đăng ký kết hôn trực tuyến phải bảo đảm rõ nét, đầy đủ, toàn vẹn về nội dung, là bản chụp bằng máy ảnh, điện thoại hoặc được chụp, được quét bằng thiết bị điện tử, từ giấy tờ được cấp hợp lệ, còn giá trị sử dụng.</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Trường hợp giấy tờ, tài liệu phải gửi kèm trong hồ sơ đăng ký kết hôn trực tuyến đã có bản sao điện tử hoặc đã có bản điện tử giấy tờ hộ tịch thì người yêu cầu được sử dụng bản điện tử này.</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Giấy tờ do cơ quan có thẩm quyền của nước ngoài cấp, công chứng hoặc xác nhận để sử dụng cho việc đăng ký hộ tịch tại Việt Nam phải được hợp pháp hóa lãnh sự theo quy định của pháp luật, trừ trường hợp được miễn theo điều ước quốc tế mà Việt Nam là thành viên.</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Trường hợp người yêu cầu đăng ký kết hôn không cung cấp được giấy tờ nêu trên theo quy định hoặc giấy tờ nộp, xuất trình bị tẩy xóa, sửa chữa, làm giả thì cơ quan đăng ký hộ tịch có thẩm quyền hủy bỏ kết quả đăng ký kết hôn.</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0</w:t>
            </w:r>
          </w:p>
        </w:tc>
      </w:tr>
    </w:tbl>
    <w:p>
      <w:pPr>
        <w:shd w:val="clear" w:color="auto" w:fill="F2F6F9"/>
        <w:spacing w:after="0" w:before="120" w:lineRule="auto" w:line="276"/>
        <w:jc w:val="both"/>
      </w:pPr>
      <w:r>
        <w:rPr>
          <w:rFonts w:ascii="Times New Roman" w:hAnsi="Times New Roman" w:cs="Times New Roman" w:eastAsia="Times New Roman"/>
          <w:b w:val="true"/>
          <w:sz w:val="26"/>
        </w:rPr>
        <w:t>Bao gồm</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 Mẫu hộ tịch điện tử tương tác đăng ký kết hôn (do người yêu cầu cung cấp thông tin theo hướng dẫn trên Cổng dịch vụ công, nếu người có yêu cầu lựa chọn nộp hồ sơ theo hình thức trực tuyến)</w:t>
            </w:r>
          </w:p>
        </w:tc>
        <w:tc>
          <w:p/>
          <w:p>
            <w:pPr>
              <w:spacing w:after="0" w:before="0" w:lineRule="auto" w:line="276"/>
              <w:jc w:val="left"/>
            </w:pPr>
            <w:r>
              <w:rPr>
                <w:rFonts w:ascii="Times New Roman" w:hAnsi="Times New Roman" w:cs="Times New Roman" w:eastAsia="Times New Roman"/>
                <w:b w:val="false"/>
                <w:sz w:val="26"/>
              </w:rPr>
              <w:t>2.DDTTT-ngkkthn.doc</w:t>
            </w:r>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Người có yêu cầu đăng ký kết hôn thực hiện việc nộp/xuất trình (theo hình thức trực tiếp) hoặc tải lên (theo hình thức trực tuyến) các giấy tờ sau:</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Tờ khai đăng ký kết hôn theo mẫu, có đủ thông tin của hai bên nam, nữ. Hai bên nam, nữ có thể khai chung vào một Tờ khai đăng ký kết hôn (nếu người có yêu cầu lựa chọn nộp hồ sơ theo hình thức trực tiếp);</w:t>
            </w:r>
          </w:p>
        </w:tc>
        <w:tc>
          <w:p/>
          <w:p>
            <w:pPr>
              <w:spacing w:after="0" w:before="0" w:lineRule="auto" w:line="276"/>
              <w:jc w:val="left"/>
            </w:pPr>
            <w:r>
              <w:rPr>
                <w:rFonts w:ascii="Times New Roman" w:hAnsi="Times New Roman" w:cs="Times New Roman" w:eastAsia="Times New Roman"/>
                <w:b w:val="false"/>
                <w:sz w:val="26"/>
              </w:rPr>
              <w:t>2.TKngkkthn.doc</w:t>
            </w:r>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bl>
    <w:p>
      <w:pPr>
        <w:spacing w:after="0" w:before="240" w:lineRule="auto" w:line="276"/>
        <w:jc w:val="both"/>
      </w:pPr>
      <w:r>
        <w:rPr>
          <w:rFonts w:ascii="Times New Roman" w:hAnsi="Times New Roman" w:cs="Times New Roman" w:eastAsia="Times New Roman"/>
          <w:b w:val="true"/>
          <w:sz w:val="26"/>
        </w:rPr>
        <w:t xml:space="preserve">Đối tượng thực hiện: </w:t>
      </w:r>
      <w:r>
        <w:rPr>
          <w:rFonts w:ascii="Times New Roman" w:hAnsi="Times New Roman" w:cs="Times New Roman" w:eastAsia="Times New Roman"/>
          <w:b w:val="false"/>
          <w:sz w:val="26"/>
        </w:rPr>
        <w:t>Công dân Việt Nam</w:t>
      </w:r>
    </w:p>
    <w:p>
      <w:pPr>
        <w:spacing w:after="0" w:before="0" w:lineRule="auto" w:line="276"/>
        <w:jc w:val="both"/>
      </w:pPr>
      <w:r>
        <w:rPr>
          <w:rFonts w:ascii="Times New Roman" w:hAnsi="Times New Roman" w:cs="Times New Roman" w:eastAsia="Times New Roman"/>
          <w:b w:val="true"/>
          <w:sz w:val="26"/>
        </w:rPr>
        <w:t xml:space="preserve">Cơ quan thực hiện: </w:t>
      </w:r>
      <w:r>
        <w:rPr>
          <w:rFonts w:ascii="Times New Roman" w:hAnsi="Times New Roman" w:cs="Times New Roman" w:eastAsia="Times New Roman"/>
          <w:b w:val="false"/>
          <w:sz w:val="26"/>
        </w:rPr>
        <w:t>Ủy ban nhân dân cấp xã</w:t>
      </w:r>
    </w:p>
    <w:p>
      <w:pPr>
        <w:spacing w:after="0" w:before="0" w:lineRule="auto" w:line="276"/>
        <w:jc w:val="both"/>
      </w:pPr>
      <w:r>
        <w:rPr>
          <w:rFonts w:ascii="Times New Roman" w:hAnsi="Times New Roman" w:cs="Times New Roman" w:eastAsia="Times New Roman"/>
          <w:b w:val="true"/>
          <w:sz w:val="26"/>
        </w:rPr>
        <w:t xml:space="preserve">Cơ quan có thẩm quyền: </w:t>
      </w:r>
      <w:r>
        <w:rPr>
          <w:rFonts w:ascii="Times New Roman" w:hAnsi="Times New Roman" w:cs="Times New Roman" w:eastAsia="Times New Roman"/>
          <w:b w:val="false"/>
          <w:sz w:val="26"/>
        </w:rPr>
        <w:t>Ủy ban nhân dân cấp xã</w:t>
      </w:r>
    </w:p>
    <w:p>
      <w:pPr>
        <w:spacing w:after="0" w:before="0" w:lineRule="auto" w:line="276"/>
        <w:jc w:val="both"/>
      </w:pPr>
      <w:r>
        <w:rPr>
          <w:rFonts w:ascii="Times New Roman" w:hAnsi="Times New Roman" w:cs="Times New Roman" w:eastAsia="Times New Roman"/>
          <w:b w:val="true"/>
          <w:sz w:val="26"/>
        </w:rPr>
        <w:t xml:space="preserve">Địa chỉ tiếp nhận HS: </w:t>
      </w:r>
      <w:r>
        <w:rPr>
          <w:rFonts w:ascii="Times New Roman" w:hAnsi="Times New Roman" w:cs="Times New Roman" w:eastAsia="Times New Roman"/>
          <w:b w:val="false"/>
          <w:sz w:val="26"/>
        </w:rPr>
        <w:t>- Trực tiếp/ bưu chính:  + Trung tâm Phục vụ hành chính công Thành phố:  + Trung tâm Phục vụ hành chính công cấp xã. - Trực tuyến tại Cổng dịch vụ công quốc gia: http://dichvu congquocgia. gov.vn hoặc Ứng dụng định danh quốc gia</w:t>
      </w:r>
    </w:p>
    <w:p>
      <w:pPr>
        <w:spacing w:after="0" w:before="0" w:lineRule="auto" w:line="276"/>
        <w:jc w:val="both"/>
      </w:pPr>
      <w:r>
        <w:rPr>
          <w:rFonts w:ascii="Times New Roman" w:hAnsi="Times New Roman" w:cs="Times New Roman" w:eastAsia="Times New Roman"/>
          <w:b w:val="true"/>
          <w:sz w:val="26"/>
        </w:rPr>
        <w:t xml:space="preserve">Cơ quan được ủy quyền: </w:t>
      </w:r>
      <w:r>
        <w:rPr>
          <w:rFonts w:ascii="Times New Roman" w:hAnsi="Times New Roman" w:cs="Times New Roman" w:eastAsia="Times New Roman"/>
          <w:b w:val="false"/>
          <w:sz w:val="26"/>
        </w:rPr>
        <w:t>Ủy ban nhân dân cấp xã</w:t>
      </w:r>
    </w:p>
    <w:p>
      <w:pPr>
        <w:spacing w:after="0" w:before="0" w:lineRule="auto" w:line="276"/>
        <w:jc w:val="both"/>
      </w:pPr>
      <w:r>
        <w:rPr>
          <w:rFonts w:ascii="Times New Roman" w:hAnsi="Times New Roman" w:cs="Times New Roman" w:eastAsia="Times New Roman"/>
          <w:b w:val="true"/>
          <w:sz w:val="26"/>
        </w:rPr>
        <w:t xml:space="preserve">Cơ quan phối hợp: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Kết quả thực hiện: </w:t>
      </w:r>
      <w:r>
        <w:rPr>
          <w:rFonts w:ascii="Times New Roman" w:hAnsi="Times New Roman" w:cs="Times New Roman" w:eastAsia="Times New Roman"/>
          <w:b w:val="false"/>
          <w:sz w:val="26"/>
        </w:rPr>
        <w:t>Giấy chứng nhận kết hôn</w:t>
      </w:r>
    </w:p>
    <w:p>
      <w:pPr>
        <w:spacing w:after="0" w:before="0" w:lineRule="auto" w:line="276"/>
        <w:jc w:val="both"/>
      </w:pPr>
      <w:r>
        <w:rPr>
          <w:rFonts w:ascii="Times New Roman" w:hAnsi="Times New Roman" w:cs="Times New Roman" w:eastAsia="Times New Roman"/>
          <w:b w:val="true"/>
          <w:sz w:val="26"/>
        </w:rPr>
        <w:t xml:space="preserve">Căn cứ pháp lý: </w:t>
      </w:r>
    </w:p>
    <w:tbl>
      <w:tblPr>
        <w:tblW w:w="0" w:type="auto"/>
        <w:tblBorders>
          <w:top w:val="single"/>
          <w:left w:val="single"/>
          <w:bottom w:val="single"/>
          <w:right w:val="single"/>
          <w:insideH w:val="single"/>
          <w:insideV w:val="single"/>
        </w:tblBorders>
      </w:tblPr>
      <w:tr>
        <w:tc>
          <w:tcPr>
            <w:tcW w:w="2000"/>
          </w:tcPr>
          <w:p/>
          <w:p>
            <w:pPr>
              <w:spacing w:after="0" w:before="0" w:lineRule="auto" w:line="276"/>
              <w:jc w:val="center"/>
            </w:pPr>
            <w:r>
              <w:rPr>
                <w:rFonts w:ascii="Times New Roman" w:hAnsi="Times New Roman" w:cs="Times New Roman" w:eastAsia="Times New Roman"/>
                <w:b w:val="true"/>
                <w:sz w:val="26"/>
              </w:rPr>
              <w:t>Số ký hiệu</w:t>
            </w:r>
          </w:p>
        </w:tc>
        <w:tc>
          <w:tcPr>
            <w:tcW w:w="3500"/>
          </w:tcPr>
          <w:p/>
          <w:p>
            <w:pPr>
              <w:spacing w:after="0" w:before="0" w:lineRule="auto" w:line="276"/>
              <w:jc w:val="center"/>
            </w:pPr>
            <w:r>
              <w:rPr>
                <w:rFonts w:ascii="Times New Roman" w:hAnsi="Times New Roman" w:cs="Times New Roman" w:eastAsia="Times New Roman"/>
                <w:b w:val="true"/>
                <w:sz w:val="26"/>
              </w:rPr>
              <w:t>Trích yếu</w:t>
            </w:r>
          </w:p>
        </w:tc>
        <w:tc>
          <w:tcPr>
            <w:tcW w:w="1500"/>
          </w:tcPr>
          <w:p/>
          <w:p>
            <w:pPr>
              <w:spacing w:after="0" w:before="0" w:lineRule="auto" w:line="276"/>
              <w:jc w:val="center"/>
            </w:pPr>
            <w:r>
              <w:rPr>
                <w:rFonts w:ascii="Times New Roman" w:hAnsi="Times New Roman" w:cs="Times New Roman" w:eastAsia="Times New Roman"/>
                <w:b w:val="true"/>
                <w:sz w:val="26"/>
              </w:rPr>
              <w:t>Ngày ban hành</w:t>
            </w:r>
          </w:p>
        </w:tc>
        <w:tc>
          <w:tcPr>
            <w:tcW w:w="3000"/>
          </w:tcPr>
          <w:p/>
          <w:p>
            <w:pPr>
              <w:spacing w:after="0" w:before="0" w:lineRule="auto" w:line="276"/>
              <w:jc w:val="center"/>
            </w:pPr>
            <w:r>
              <w:rPr>
                <w:rFonts w:ascii="Times New Roman" w:hAnsi="Times New Roman" w:cs="Times New Roman" w:eastAsia="Times New Roman"/>
                <w:b w:val="true"/>
                <w:sz w:val="26"/>
              </w:rPr>
              <w:t>Cơ quan ban hành</w:t>
            </w:r>
          </w:p>
        </w:tc>
      </w:tr>
      <w:tr>
        <w:tc>
          <w:p/>
          <w:p>
            <w:pPr>
              <w:spacing w:after="0" w:before="0" w:lineRule="auto" w:line="276"/>
              <w:jc w:val="left"/>
            </w:pPr>
            <w:r>
              <w:rPr>
                <w:rFonts w:ascii="Times New Roman" w:hAnsi="Times New Roman" w:cs="Times New Roman" w:eastAsia="Times New Roman"/>
                <w:b w:val="false"/>
                <w:sz w:val="26"/>
              </w:rPr>
              <w:t>15/2015/TT-BTP</w:t>
            </w:r>
          </w:p>
        </w:tc>
        <w:tc>
          <w:p/>
          <w:p>
            <w:pPr>
              <w:spacing w:after="0" w:before="0" w:lineRule="auto" w:line="276"/>
              <w:jc w:val="left"/>
            </w:pPr>
            <w:r>
              <w:rPr>
                <w:rFonts w:ascii="Times New Roman" w:hAnsi="Times New Roman" w:cs="Times New Roman" w:eastAsia="Times New Roman"/>
                <w:b w:val="false"/>
                <w:sz w:val="26"/>
              </w:rPr>
              <w:t>Thông tư 15/2015/TT-BTP</w:t>
            </w:r>
          </w:p>
        </w:tc>
        <w:tc>
          <w:p/>
          <w:p>
            <w:pPr>
              <w:spacing w:after="0" w:before="0" w:lineRule="auto" w:line="276"/>
              <w:jc w:val="left"/>
            </w:pPr>
            <w:r>
              <w:rPr>
                <w:rFonts w:ascii="Times New Roman" w:hAnsi="Times New Roman" w:cs="Times New Roman" w:eastAsia="Times New Roman"/>
                <w:b w:val="false"/>
                <w:sz w:val="26"/>
              </w:rPr>
              <w:t>16-11-2015</w:t>
            </w:r>
          </w:p>
        </w:tc>
        <w:tc>
          <w:p/>
          <w:p>
            <w:pPr>
              <w:spacing w:after="0" w:before="0" w:lineRule="auto" w:line="276"/>
              <w:jc w:val="left"/>
            </w:pPr>
            <w:r>
              <w:rPr>
                <w:rFonts w:ascii="Times New Roman" w:hAnsi="Times New Roman" w:cs="Times New Roman" w:eastAsia="Times New Roman"/>
                <w:b w:val="false"/>
                <w:sz w:val="26"/>
              </w:rPr>
              <w:t>Bộ Tư pháp</w:t>
            </w:r>
          </w:p>
        </w:tc>
      </w:tr>
      <w:tr>
        <w:tc>
          <w:p/>
          <w:p>
            <w:pPr>
              <w:spacing w:after="0" w:before="0" w:lineRule="auto" w:line="276"/>
              <w:jc w:val="left"/>
            </w:pPr>
            <w:r>
              <w:rPr>
                <w:rFonts w:ascii="Times New Roman" w:hAnsi="Times New Roman" w:cs="Times New Roman" w:eastAsia="Times New Roman"/>
                <w:b w:val="false"/>
                <w:sz w:val="26"/>
              </w:rPr>
              <w:t>52/2014/QH13</w:t>
            </w:r>
          </w:p>
        </w:tc>
        <w:tc>
          <w:p/>
          <w:p>
            <w:pPr>
              <w:spacing w:after="0" w:before="0" w:lineRule="auto" w:line="276"/>
              <w:jc w:val="left"/>
            </w:pPr>
            <w:r>
              <w:rPr>
                <w:rFonts w:ascii="Times New Roman" w:hAnsi="Times New Roman" w:cs="Times New Roman" w:eastAsia="Times New Roman"/>
                <w:b w:val="false"/>
                <w:sz w:val="26"/>
              </w:rPr>
              <w:t>Luật 52/2014/QH13 Hôn nhân và gia đình</w:t>
            </w:r>
          </w:p>
        </w:tc>
        <w:tc>
          <w:p/>
          <w:p>
            <w:pPr>
              <w:spacing w:after="0" w:before="0" w:lineRule="auto" w:line="276"/>
              <w:jc w:val="left"/>
            </w:pPr>
            <w:r>
              <w:rPr>
                <w:rFonts w:ascii="Times New Roman" w:hAnsi="Times New Roman" w:cs="Times New Roman" w:eastAsia="Times New Roman"/>
                <w:b w:val="false"/>
                <w:sz w:val="26"/>
              </w:rPr>
              <w:t>19-06-2014</w:t>
            </w:r>
          </w:p>
        </w:tc>
        <w:tc>
          <w:p/>
          <w:p>
            <w:pPr>
              <w:spacing w:after="0" w:before="0" w:lineRule="auto" w:line="276"/>
              <w:jc w:val="left"/>
            </w:pPr>
            <w:r>
              <w:rPr>
                <w:rFonts w:ascii="Times New Roman" w:hAnsi="Times New Roman" w:cs="Times New Roman" w:eastAsia="Times New Roman"/>
                <w:b w:val="false"/>
                <w:sz w:val="26"/>
              </w:rPr>
              <w:t>Quốc Hội</w:t>
            </w:r>
          </w:p>
        </w:tc>
      </w:tr>
      <w:tr>
        <w:tc>
          <w:p/>
          <w:p>
            <w:pPr>
              <w:spacing w:after="0" w:before="0" w:lineRule="auto" w:line="276"/>
              <w:jc w:val="left"/>
            </w:pPr>
            <w:r>
              <w:rPr>
                <w:rFonts w:ascii="Times New Roman" w:hAnsi="Times New Roman" w:cs="Times New Roman" w:eastAsia="Times New Roman"/>
                <w:b w:val="false"/>
                <w:sz w:val="26"/>
              </w:rPr>
              <w:t>60/2014/QH13</w:t>
            </w:r>
          </w:p>
        </w:tc>
        <w:tc>
          <w:p/>
          <w:p>
            <w:pPr>
              <w:spacing w:after="0" w:before="0" w:lineRule="auto" w:line="276"/>
              <w:jc w:val="left"/>
            </w:pPr>
            <w:r>
              <w:rPr>
                <w:rFonts w:ascii="Times New Roman" w:hAnsi="Times New Roman" w:cs="Times New Roman" w:eastAsia="Times New Roman"/>
                <w:b w:val="false"/>
                <w:sz w:val="26"/>
              </w:rPr>
              <w:t>Luật 60/2014/QH13-Hộ tịch</w:t>
            </w:r>
          </w:p>
        </w:tc>
        <w:tc>
          <w:p/>
          <w:p>
            <w:pPr>
              <w:spacing w:after="0" w:before="0" w:lineRule="auto" w:line="276"/>
              <w:jc w:val="left"/>
            </w:pPr>
            <w:r>
              <w:rPr>
                <w:rFonts w:ascii="Times New Roman" w:hAnsi="Times New Roman" w:cs="Times New Roman" w:eastAsia="Times New Roman"/>
                <w:b w:val="false"/>
                <w:sz w:val="26"/>
              </w:rPr>
              <w:t>20-11-2014</w:t>
            </w:r>
          </w:p>
        </w:tc>
        <w:tc>
          <w:p/>
        </w:tc>
      </w:tr>
      <w:tr>
        <w:tc>
          <w:p/>
          <w:p>
            <w:pPr>
              <w:spacing w:after="0" w:before="0" w:lineRule="auto" w:line="276"/>
              <w:jc w:val="left"/>
            </w:pPr>
            <w:r>
              <w:rPr>
                <w:rFonts w:ascii="Times New Roman" w:hAnsi="Times New Roman" w:cs="Times New Roman" w:eastAsia="Times New Roman"/>
                <w:b w:val="false"/>
                <w:sz w:val="26"/>
              </w:rPr>
              <w:t>123/2015/NĐ-CP</w:t>
            </w:r>
          </w:p>
        </w:tc>
        <w:tc>
          <w:p/>
          <w:p>
            <w:pPr>
              <w:spacing w:after="0" w:before="0" w:lineRule="auto" w:line="276"/>
              <w:jc w:val="left"/>
            </w:pPr>
            <w:r>
              <w:rPr>
                <w:rFonts w:ascii="Times New Roman" w:hAnsi="Times New Roman" w:cs="Times New Roman" w:eastAsia="Times New Roman"/>
                <w:b w:val="false"/>
                <w:sz w:val="26"/>
              </w:rPr>
              <w:t>Nghị định 123/2015/NĐ-CP - Quy định chi tiết một số điều và biện pháp thi hành Luật Hộ tịch</w:t>
            </w:r>
          </w:p>
        </w:tc>
        <w:tc>
          <w:p/>
          <w:p>
            <w:pPr>
              <w:spacing w:after="0" w:before="0" w:lineRule="auto" w:line="276"/>
              <w:jc w:val="left"/>
            </w:pPr>
            <w:r>
              <w:rPr>
                <w:rFonts w:ascii="Times New Roman" w:hAnsi="Times New Roman" w:cs="Times New Roman" w:eastAsia="Times New Roman"/>
                <w:b w:val="false"/>
                <w:sz w:val="26"/>
              </w:rPr>
              <w:t>15-11-2015</w:t>
            </w:r>
          </w:p>
        </w:tc>
        <w:tc>
          <w:p/>
        </w:tc>
      </w:tr>
      <w:tr>
        <w:tc>
          <w:p/>
          <w:p>
            <w:pPr>
              <w:spacing w:after="0" w:before="0" w:lineRule="auto" w:line="276"/>
              <w:jc w:val="left"/>
            </w:pPr>
            <w:r>
              <w:rPr>
                <w:rFonts w:ascii="Times New Roman" w:hAnsi="Times New Roman" w:cs="Times New Roman" w:eastAsia="Times New Roman"/>
                <w:b w:val="false"/>
                <w:sz w:val="26"/>
              </w:rPr>
              <w:t>03/2023/TT-BTP</w:t>
            </w:r>
          </w:p>
        </w:tc>
        <w:tc>
          <w:p/>
          <w:p>
            <w:pPr>
              <w:spacing w:after="0" w:before="0" w:lineRule="auto" w:line="276"/>
              <w:jc w:val="left"/>
            </w:pPr>
            <w:r>
              <w:rPr>
                <w:rFonts w:ascii="Times New Roman" w:hAnsi="Times New Roman" w:cs="Times New Roman" w:eastAsia="Times New Roman"/>
                <w:b w:val="false"/>
                <w:sz w:val="26"/>
              </w:rPr>
              <w:t>Thông tư 03/2023/TT-BTP sửa đổi, bổ sung một số nội dung của Thông tư số 01/2022/TT-BTP ngày 04/01/2022 của Bộ trưởng Bộ Tư pháp quy định chi tiết một số điều và biện pháp thi hành Nghị định số 87/2020/NĐ-CP ngày 28/7/2020 của Chính phủ quy định về Cơ sở dữ liệu hộ tịch điện tử, đăng ký hộ tịch trực tuyến</w:t>
            </w:r>
          </w:p>
        </w:tc>
        <w:tc>
          <w:p/>
          <w:p>
            <w:pPr>
              <w:spacing w:after="0" w:before="0" w:lineRule="auto" w:line="276"/>
              <w:jc w:val="left"/>
            </w:pPr>
            <w:r>
              <w:rPr>
                <w:rFonts w:ascii="Times New Roman" w:hAnsi="Times New Roman" w:cs="Times New Roman" w:eastAsia="Times New Roman"/>
                <w:b w:val="false"/>
                <w:sz w:val="26"/>
              </w:rPr>
              <w:t>02-08-2023</w:t>
            </w:r>
          </w:p>
        </w:tc>
        <w:tc>
          <w:p/>
          <w:p>
            <w:pPr>
              <w:spacing w:after="0" w:before="0" w:lineRule="auto" w:line="276"/>
              <w:jc w:val="left"/>
            </w:pPr>
            <w:r>
              <w:rPr>
                <w:rFonts w:ascii="Times New Roman" w:hAnsi="Times New Roman" w:cs="Times New Roman" w:eastAsia="Times New Roman"/>
                <w:b w:val="false"/>
                <w:sz w:val="26"/>
              </w:rPr>
              <w:t>Bộ trưởng Bộ Tư pháp</w:t>
            </w:r>
          </w:p>
        </w:tc>
      </w:tr>
      <w:tr>
        <w:tc>
          <w:p/>
          <w:p>
            <w:pPr>
              <w:spacing w:after="0" w:before="0" w:lineRule="auto" w:line="276"/>
              <w:jc w:val="left"/>
            </w:pPr>
            <w:r>
              <w:rPr>
                <w:rFonts w:ascii="Times New Roman" w:hAnsi="Times New Roman" w:cs="Times New Roman" w:eastAsia="Times New Roman"/>
                <w:b w:val="false"/>
                <w:sz w:val="26"/>
              </w:rPr>
              <w:t>04/2024/TT-BTP</w:t>
            </w:r>
          </w:p>
        </w:tc>
        <w:tc>
          <w:p/>
          <w:p>
            <w:pPr>
              <w:spacing w:after="0" w:before="0" w:lineRule="auto" w:line="276"/>
              <w:jc w:val="left"/>
            </w:pPr>
            <w:r>
              <w:rPr>
                <w:rFonts w:ascii="Times New Roman" w:hAnsi="Times New Roman" w:cs="Times New Roman" w:eastAsia="Times New Roman"/>
                <w:b w:val="false"/>
                <w:sz w:val="26"/>
              </w:rPr>
              <w:t>Sửa đổi, bổ sung một số điều của Thông tư số 02/2020/TT-BTP ngày 08/4/2020 của Bộ trưởng Bộ Tư pháp ban hành, hướng dẫn sử dụng, quản lý mẫu sổ quốc tịch và mẫu giấy tờ về quốc tịch và Thông tư số 04/2020/TT-BTP ngày 28/5/2020 của Bộ trưởng Bộ Tư pháp quy định chi tiết thi hành một số điều của Luật Hộ tịch và Nghị định  số 123/2015/NĐ-CP ngày 15/11/2015 của Chính phủ quy định chi tiết  một số điều và biện pháp thi hành Luật Hộ tịch</w:t>
            </w:r>
          </w:p>
        </w:tc>
        <w:tc>
          <w:p/>
          <w:p>
            <w:pPr>
              <w:spacing w:after="0" w:before="0" w:lineRule="auto" w:line="276"/>
              <w:jc w:val="left"/>
            </w:pPr>
            <w:r>
              <w:rPr>
                <w:rFonts w:ascii="Times New Roman" w:hAnsi="Times New Roman" w:cs="Times New Roman" w:eastAsia="Times New Roman"/>
                <w:b w:val="false"/>
                <w:sz w:val="26"/>
              </w:rPr>
              <w:t>06-06-2024</w:t>
            </w:r>
          </w:p>
        </w:tc>
        <w:tc>
          <w:p/>
          <w:p>
            <w:pPr>
              <w:spacing w:after="0" w:before="0" w:lineRule="auto" w:line="276"/>
              <w:jc w:val="left"/>
            </w:pPr>
            <w:r>
              <w:rPr>
                <w:rFonts w:ascii="Times New Roman" w:hAnsi="Times New Roman" w:cs="Times New Roman" w:eastAsia="Times New Roman"/>
                <w:b w:val="false"/>
                <w:sz w:val="26"/>
              </w:rPr>
              <w:t>Bộ trưởng Bộ Tư pháp</w:t>
            </w:r>
          </w:p>
        </w:tc>
      </w:tr>
      <w:tr>
        <w:tc>
          <w:p/>
          <w:p>
            <w:pPr>
              <w:spacing w:after="0" w:before="0" w:lineRule="auto" w:line="276"/>
              <w:jc w:val="left"/>
            </w:pPr>
            <w:r>
              <w:rPr>
                <w:rFonts w:ascii="Times New Roman" w:hAnsi="Times New Roman" w:cs="Times New Roman" w:eastAsia="Times New Roman"/>
                <w:b w:val="false"/>
                <w:sz w:val="26"/>
              </w:rPr>
              <w:t>07/2024/NQ-HĐND</w:t>
            </w:r>
          </w:p>
        </w:tc>
        <w:tc>
          <w:p/>
          <w:p>
            <w:pPr>
              <w:spacing w:after="0" w:before="0" w:lineRule="auto" w:line="276"/>
              <w:jc w:val="left"/>
            </w:pPr>
            <w:r>
              <w:rPr>
                <w:rFonts w:ascii="Times New Roman" w:hAnsi="Times New Roman" w:cs="Times New Roman" w:eastAsia="Times New Roman"/>
                <w:b w:val="false"/>
                <w:sz w:val="26"/>
              </w:rPr>
              <w:t>Nghị quyết số 07/2024/NQ-HĐND</w:t>
            </w:r>
          </w:p>
        </w:tc>
        <w:tc>
          <w:p/>
          <w:p>
            <w:pPr>
              <w:spacing w:after="0" w:before="0" w:lineRule="auto" w:line="276"/>
              <w:jc w:val="left"/>
            </w:pPr>
            <w:r>
              <w:rPr>
                <w:rFonts w:ascii="Times New Roman" w:hAnsi="Times New Roman" w:cs="Times New Roman" w:eastAsia="Times New Roman"/>
                <w:b w:val="false"/>
                <w:sz w:val="26"/>
              </w:rPr>
              <w:t>19-05-2024</w:t>
            </w:r>
          </w:p>
        </w:tc>
        <w:tc>
          <w:p/>
        </w:tc>
      </w:tr>
      <w:tr>
        <w:tc>
          <w:p/>
          <w:p>
            <w:pPr>
              <w:spacing w:after="0" w:before="0" w:lineRule="auto" w:line="276"/>
              <w:jc w:val="left"/>
            </w:pPr>
            <w:r>
              <w:rPr>
                <w:rFonts w:ascii="Times New Roman" w:hAnsi="Times New Roman" w:cs="Times New Roman" w:eastAsia="Times New Roman"/>
                <w:b w:val="false"/>
                <w:sz w:val="26"/>
              </w:rPr>
              <w:t>07/2025/NĐ-CP</w:t>
            </w:r>
          </w:p>
        </w:tc>
        <w:tc>
          <w:p/>
          <w:p>
            <w:pPr>
              <w:spacing w:after="0" w:before="0" w:lineRule="auto" w:line="276"/>
              <w:jc w:val="left"/>
            </w:pPr>
            <w:r>
              <w:rPr>
                <w:rFonts w:ascii="Times New Roman" w:hAnsi="Times New Roman" w:cs="Times New Roman" w:eastAsia="Times New Roman"/>
                <w:b w:val="false"/>
                <w:sz w:val="26"/>
              </w:rPr>
              <w:t>Nghị định số 07/2025/NĐ-CP ngày 09/01/2025 của Chính phủ sửa đổi, bổ sung một số điều của các Nghị định trong lĩnh vực hộ tịch, quốc tịch, chứng thực.</w:t>
            </w:r>
          </w:p>
        </w:tc>
        <w:tc>
          <w:p/>
          <w:p>
            <w:pPr>
              <w:spacing w:after="0" w:before="0" w:lineRule="auto" w:line="276"/>
              <w:jc w:val="left"/>
            </w:pPr>
            <w:r>
              <w:rPr>
                <w:rFonts w:ascii="Times New Roman" w:hAnsi="Times New Roman" w:cs="Times New Roman" w:eastAsia="Times New Roman"/>
                <w:b w:val="false"/>
                <w:sz w:val="26"/>
              </w:rPr>
              <w:t>09-01-2025</w:t>
            </w:r>
          </w:p>
        </w:tc>
        <w:tc>
          <w:p/>
          <w:p>
            <w:pPr>
              <w:spacing w:after="0" w:before="0" w:lineRule="auto" w:line="276"/>
              <w:jc w:val="left"/>
            </w:pPr>
            <w:r>
              <w:rPr>
                <w:rFonts w:ascii="Times New Roman" w:hAnsi="Times New Roman" w:cs="Times New Roman" w:eastAsia="Times New Roman"/>
                <w:b w:val="false"/>
                <w:sz w:val="26"/>
              </w:rPr>
              <w:t>Chính phủ</w:t>
            </w:r>
          </w:p>
        </w:tc>
      </w:tr>
    </w:tbl>
    <w:p>
      <w:pPr>
        <w:spacing w:after="0" w:before="240" w:lineRule="auto" w:line="276"/>
        <w:jc w:val="both"/>
      </w:pPr>
      <w:r>
        <w:rPr>
          <w:rFonts w:ascii="Times New Roman" w:hAnsi="Times New Roman" w:cs="Times New Roman" w:eastAsia="Times New Roman"/>
          <w:b w:val="true"/>
          <w:sz w:val="26"/>
        </w:rPr>
        <w:t xml:space="preserve">Yêu cầu, điều kiện thực hiện: </w:t>
      </w:r>
      <w:r>
        <w:rPr>
          <w:rFonts w:ascii="Times New Roman" w:hAnsi="Times New Roman" w:cs="Times New Roman" w:eastAsia="Times New Roman"/>
          <w:b w:val="false"/>
          <w:sz w:val="26"/>
        </w:rPr>
        <w:t>- Nam từ đủ 20 tuổi trở lên, nữ từ đủ 18 tuổi trở lên;
- Việc kết hôn do nam và nữ tự nguyện quyết định;
- Các bên không bị mất năng lực hành vi dân sự;
- Việc kết hôn không thuộc một trong các trường hợp cấm kết hôn, gồm:
+ Kết hôn giả tạo;
+ Tảo hôn, cưỡng ép kết hôn, lừa dối kết hôn, cản trở kết hôn;
+ Người đang có vợ, có chồng mà kết hôn với người khác hoặc chưa có vợ, chưa có chồng mà kết hôn với người đang có chồng, có vợ;
+ Kết hôn giữa những người cùng dòng máu về trực hệ; giữa những người có họ trong phạm vi ba đời; giữa cha, mẹ nuôi với con nuôi; giữa người đã từng là cha, mẹ nuôi với con nuôi, cha chồng với con dâu, mẹ vợ với con rể, cha dượng với con riêng của vợ, mẹ kế với con riêng của chồng.
* Nhà nước không thừa nhận hôn nhân giữa những người cùng giới tính.</w:t>
      </w:r>
    </w:p>
    <w:p>
      <w:pPr>
        <w:spacing w:after="0" w:before="0" w:lineRule="auto" w:line="276"/>
        <w:jc w:val="both"/>
      </w:pPr>
      <w:r>
        <w:rPr>
          <w:rFonts w:ascii="Times New Roman" w:hAnsi="Times New Roman" w:cs="Times New Roman" w:eastAsia="Times New Roman"/>
          <w:b w:val="true"/>
          <w:sz w:val="26"/>
        </w:rPr>
        <w:t xml:space="preserve">Từ khóa: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Mô tả: </w:t>
      </w:r>
      <w:r>
        <w:rPr>
          <w:rFonts w:ascii="Times New Roman" w:hAnsi="Times New Roman" w:cs="Times New Roman" w:eastAsia="Times New Roman"/>
          <w:b w:val="false"/>
          <w:sz w:val="26"/>
        </w:rPr>
        <w:t>Không có thông tin</w:t>
      </w:r>
    </w:p>
    <w:sectPr>
      <w:pgMar w:left="1702" w:top="1137" w:right="1137" w:bottom="1137"/>
    </w:sectPr>
  </w:body>
</w:document>
</file>

<file path=word/settings.xml><?xml version="1.0" encoding="utf-8"?>
<w:settings xmlns:w="http://schemas.openxmlformats.org/wordprocessingml/2006/main"/>
</file>

<file path=word/_rels/document.xml.rels><?xml version="1.0" encoding="UTF-8" standalone="no"?>
<Relationships xmlns="http://schemas.openxmlformats.org/package/2006/relationships">
<Relationship Id="rId1" Target="settings.xml" Type="http://schemas.openxmlformats.org/officeDocument/2006/relationships/settings"/>
</Relationships>

</file>

<file path=docProps/app.xml><?xml version="1.0" encoding="utf-8"?>
<Properties xmlns="http://schemas.openxmlformats.org/officeDocument/2006/extended-properties">
  <Application>Apache POI</Application>
</Properties>
</file>

<file path=docProps/core.xml><?xml version="1.0" encoding="utf-8"?>
<cp:coreProperties xmlns:cp="http://schemas.openxmlformats.org/package/2006/metadata/core-properties" xmlns:dc="http://purl.org/dc/elements/1.1/" xmlns:dcterms="http://purl.org/dc/terms/" xmlns:xsi="http://www.w3.org/2001/XMLSchema-instance">
  <dcterms:created xsi:type="dcterms:W3CDTF">2026-05-26T17:48:49Z</dcterms:created>
  <dc:creator>Apache POI</dc:creator>
</cp:coreProperties>
</file>