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2435/QĐ-BQP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xe cho, tặng; xe viện trợ; xe nhập khẩu phi mậu dịch, xe là quà biếu hoặc xe nhập khẩu là tài sản di chuyển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QUÂN SỰ, QUỐC PHÒNG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Xe - Máy các đơn vị trực thuộc Bộ Quốc phòng có trách nhiệm lập hồ sơ gửi trực tiếp về Cục Xe - Máy.</w:t>
      </w:r>
    </w:p>
    <w:p>
      <w:pPr>
        <w:spacing w:after="0" w:before="0" w:lineRule="auto" w:line="276"/>
        <w:jc w:val="both"/>
      </w:pPr>
      <w:r>
        <w:rPr>
          <w:rFonts w:ascii="Times New Roman" w:hAnsi="Times New Roman" w:cs="Times New Roman" w:eastAsia="Times New Roman"/>
          <w:b w:val="false"/>
          <w:sz w:val="26"/>
        </w:rPr>
        <w:t>Bước 2: Trong thời hạn 10 ngày làm việc, kể từ ngày tiếp nhận đủ hồ sơ họp lệ, Cục Xe - Máy có trách nhiệm kiểm tra, thẩm định, hướng dẫn bổ sung hoàn thiện hồ sơ, nếu đủ điều kiện theo quy định tại Thông tư này thì cấp biển số đăng ký, chứng nhận đăng ký, lý lịch xe cho cơ quan, đơn vị. Trường hợp không đủ điều kiện đăng ký thì Cục Xe - Máy thông báo cho cơ quan, đơn vị liên quan biết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đăng ký xe cho, tặng: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của Tổng Tham mưu trưởng đưa vào trang bị quân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đăng ký xe;</w:t>
            </w:r>
          </w:p>
        </w:tc>
        <w:tc>
          <w:p/>
          <w:p>
            <w:pPr>
              <w:spacing w:after="0" w:before="0" w:lineRule="auto" w:line="276"/>
              <w:jc w:val="left"/>
            </w:pPr>
            <w:r>
              <w:rPr>
                <w:rFonts w:ascii="Times New Roman" w:hAnsi="Times New Roman" w:cs="Times New Roman" w:eastAsia="Times New Roman"/>
                <w:b w:val="false"/>
                <w:sz w:val="26"/>
              </w:rPr>
              <w:t>Mẫu số 01 - Bản khai đăng ký.doc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cho, tặng của bên cho, tặng;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gốc của xe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đăng ký xe nhập khẩu phi mậu dịch, xe là quà tặng hoặc xe nhập khẩu là tài sản di chuyển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của Tổng Tham mưu trưởng đưa vào trang bị quân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đăng ký xe;</w:t>
            </w:r>
          </w:p>
        </w:tc>
        <w:tc>
          <w:p/>
          <w:p>
            <w:pPr>
              <w:spacing w:after="0" w:before="0" w:lineRule="auto" w:line="276"/>
              <w:jc w:val="left"/>
            </w:pPr>
            <w:r>
              <w:rPr>
                <w:rFonts w:ascii="Times New Roman" w:hAnsi="Times New Roman" w:cs="Times New Roman" w:eastAsia="Times New Roman"/>
                <w:b w:val="false"/>
                <w:sz w:val="26"/>
              </w:rPr>
              <w:t>Mẫu số 01 - Bản khai đăng ký.doc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hàng hoá xuất, nhập khẩu phi mậu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lai thu thuế nhập khẩu, thuế tiêu thụ đặc biệt.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đăng ký xe viện trợ: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của Tổng Tham mưu trưởng đưa vào trang bị quân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đăng ký xe;</w:t>
            </w:r>
          </w:p>
        </w:tc>
        <w:tc>
          <w:p/>
          <w:p>
            <w:pPr>
              <w:spacing w:after="0" w:before="0" w:lineRule="auto" w:line="276"/>
              <w:jc w:val="left"/>
            </w:pPr>
            <w:r>
              <w:rPr>
                <w:rFonts w:ascii="Times New Roman" w:hAnsi="Times New Roman" w:cs="Times New Roman" w:eastAsia="Times New Roman"/>
                <w:b w:val="false"/>
                <w:sz w:val="26"/>
              </w:rPr>
              <w:t>Mẫu số 01 - Bản khai đăng ký.doc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nguồn gốc xe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viện trợ của Bộ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Xe - Máy đơn vị trực thuộc Bộ Quốc phòng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Xe máy-Vận tải/Tổng cục Hậu cần-Kỹ thuật</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Biển số đăng ký, chứng nhận đăng ký, lý lịch xe cho đơn vị.</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Giao thông đường bộ</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2026-05-21T16:39:28Z</dcterms:created>
  <dc:creator>Apache POI</dc:creator>
</cp:coreProperties>
</file>