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1.001758.000.00.00.H29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1206/QĐ-UBND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Chi trả trợ cấp xã hội hàng tháng, hỗ trợ kinh phí chăm sóc, nuôi dưỡng hàng tháng khi đối tượng thay đổi nơi cư trú trong cùng địa bàn quận, huyện, thị xã, thành phố thuộc tỉnh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Bảo trợ xã hội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hoặc người giám hộ của đối tượng có văn bản kiến nghị gửi Chủ tịch Ủy ban nhân dân cấp xã nơi cư trú mới</w:t>
      </w:r>
    </w:p>
    <w:p>
      <w:pPr>
        <w:spacing w:after="0" w:before="0" w:lineRule="auto" w:line="276"/>
        <w:jc w:val="both"/>
      </w:pPr>
      <w:r>
        <w:rPr>
          <w:rFonts w:ascii="Times New Roman" w:hAnsi="Times New Roman" w:cs="Times New Roman" w:eastAsia="Times New Roman"/>
          <w:b w:val="false"/>
          <w:sz w:val="26"/>
        </w:rPr>
        <w:t>Bước 2: Trong thời hạn 03 ngày làm việc, kể từ ngày nhận được đơn đề nghị, Chủ tịch Ủy ban nhân dân cấp xã có văn bản gửi Phòng Lao động - Thương binh và Xã hội</w:t>
      </w:r>
    </w:p>
    <w:p>
      <w:pPr>
        <w:spacing w:after="0" w:before="0" w:lineRule="auto" w:line="276"/>
        <w:jc w:val="both"/>
      </w:pPr>
      <w:r>
        <w:rPr>
          <w:rFonts w:ascii="Times New Roman" w:hAnsi="Times New Roman" w:cs="Times New Roman" w:eastAsia="Times New Roman"/>
          <w:b w:val="false"/>
          <w:sz w:val="26"/>
        </w:rPr>
        <w:t>Bước 3: Trong thời hạn 03 ngày làm việc, kể từ ngày nhận được văn bản của Chủ tịch Ủy ban nhân dân cấp xã, Phòng Lao động - Thương binh và Xã hội có trách nhiệm thẩm định và thực hiện chi trả trợ cấp xã hội hàng tháng cho đối tượng theo địa chỉ nơi cư trú mới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06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của đối tượng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Phòng Lao động- Thương Binh và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Chi trả trợ cấp xã hội hàng tháng, hỗ trợ kinh phí chăm sóc, nuôi dưỡng hàng tháng cho đối tượng theo địa chỉ nơi cư trú mới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136/2013/NĐ-CP</w:t>
            </w:r>
          </w:p>
        </w:tc>
        <w:tc>
          <w:p/>
          <w:p>
            <w:pPr>
              <w:spacing w:after="0" w:before="0" w:lineRule="auto" w:line="276"/>
              <w:jc w:val="left"/>
            </w:pPr>
            <w:r>
              <w:rPr>
                <w:rFonts w:ascii="Times New Roman" w:hAnsi="Times New Roman" w:cs="Times New Roman" w:eastAsia="Times New Roman"/>
                <w:b w:val="false"/>
                <w:sz w:val="26"/>
              </w:rPr>
              <w:t>Nghị định 136/2013/NĐ-CP - Quy định chính sách trợ giúp xã hội đối với đối tượng bảo trợ xã hội</w:t>
            </w:r>
          </w:p>
        </w:tc>
        <w:tc>
          <w:p/>
          <w:p>
            <w:pPr>
              <w:spacing w:after="0" w:before="0" w:lineRule="auto" w:line="276"/>
              <w:jc w:val="left"/>
            </w:pPr>
            <w:r>
              <w:rPr>
                <w:rFonts w:ascii="Times New Roman" w:hAnsi="Times New Roman" w:cs="Times New Roman" w:eastAsia="Times New Roman"/>
                <w:b w:val="false"/>
                <w:sz w:val="26"/>
              </w:rPr>
              <w:t>21-10-2013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140/2018/NĐ-CP</w:t>
            </w:r>
          </w:p>
        </w:tc>
        <w:tc>
          <w:p/>
          <w:p>
            <w:pPr>
              <w:spacing w:after="0" w:before="0" w:lineRule="auto" w:line="276"/>
              <w:jc w:val="left"/>
            </w:pPr>
            <w:r>
              <w:rPr>
                <w:rFonts w:ascii="Times New Roman" w:hAnsi="Times New Roman" w:cs="Times New Roman" w:eastAsia="Times New Roman"/>
                <w:b w:val="false"/>
                <w:sz w:val="26"/>
              </w:rPr>
              <w:t>Nghị định 140/2018/NĐ-CP - Sửa đổi, bổ sung các Nghị định liên quan đến điều kiện đầu tư kinh doanh và thủ tục hành chính thuộc phạm vi quản lý nhà nước của Bộ Lao động - Thương binh và Xã hội</w:t>
            </w:r>
          </w:p>
        </w:tc>
        <w:tc>
          <w:p/>
          <w:p>
            <w:pPr>
              <w:spacing w:after="0" w:before="0" w:lineRule="auto" w:line="276"/>
              <w:jc w:val="left"/>
            </w:pPr>
            <w:r>
              <w:rPr>
                <w:rFonts w:ascii="Times New Roman" w:hAnsi="Times New Roman" w:cs="Times New Roman" w:eastAsia="Times New Roman"/>
                <w:b w:val="false"/>
                <w:sz w:val="26"/>
              </w:rPr>
              <w:t>08-10-2018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20/2021/NĐ-CP</w:t>
            </w:r>
          </w:p>
        </w:tc>
        <w:tc>
          <w:p/>
          <w:p>
            <w:pPr>
              <w:spacing w:after="0" w:before="0" w:lineRule="auto" w:line="276"/>
              <w:jc w:val="left"/>
            </w:pPr>
            <w:r>
              <w:rPr>
                <w:rFonts w:ascii="Times New Roman" w:hAnsi="Times New Roman" w:cs="Times New Roman" w:eastAsia="Times New Roman"/>
                <w:b w:val="false"/>
                <w:sz w:val="26"/>
              </w:rPr>
              <w:t>Nghị định 20/2021/NĐ-CP</w:t>
            </w:r>
          </w:p>
        </w:tc>
        <w:tc>
          <w:p/>
          <w:p>
            <w:pPr>
              <w:spacing w:after="0" w:before="0" w:lineRule="auto" w:line="276"/>
              <w:jc w:val="left"/>
            </w:pPr>
            <w:r>
              <w:rPr>
                <w:rFonts w:ascii="Times New Roman" w:hAnsi="Times New Roman" w:cs="Times New Roman" w:eastAsia="Times New Roman"/>
                <w:b w:val="false"/>
                <w:sz w:val="26"/>
              </w:rPr>
              <w:t>15-03-2021</w:t>
            </w:r>
          </w:p>
        </w:tc>
        <w:tc>
          <w:p/>
        </w:tc>
      </w:tr>
      <w:tr>
        <w:tc>
          <w:p/>
          <w:p>
            <w:pPr>
              <w:spacing w:after="0" w:before="0" w:lineRule="auto" w:line="276"/>
              <w:jc w:val="left"/>
            </w:pPr>
            <w:r>
              <w:rPr>
                <w:rFonts w:ascii="Times New Roman" w:hAnsi="Times New Roman" w:cs="Times New Roman" w:eastAsia="Times New Roman"/>
                <w:b w:val="false"/>
                <w:sz w:val="26"/>
              </w:rPr>
              <w:t>42/2025/NĐ-CP</w:t>
            </w:r>
          </w:p>
        </w:tc>
        <w:tc>
          <w:p/>
          <w:p>
            <w:pPr>
              <w:spacing w:after="0" w:before="0" w:lineRule="auto" w:line="276"/>
              <w:jc w:val="left"/>
            </w:pPr>
            <w:r>
              <w:rPr>
                <w:rFonts w:ascii="Times New Roman" w:hAnsi="Times New Roman" w:cs="Times New Roman" w:eastAsia="Times New Roman"/>
                <w:b w:val="false"/>
                <w:sz w:val="26"/>
              </w:rPr>
              <w:t>Nghị định số 42/2025/NĐ-CP của Chính phủ: Quy định chức năng, nhiệm vụ, quyền hạn và cơ cấu tổ chức của Bộ Y tế</w:t>
            </w:r>
          </w:p>
        </w:tc>
        <w:tc>
          <w:p/>
          <w:p>
            <w:pPr>
              <w:spacing w:after="0" w:before="0" w:lineRule="auto" w:line="276"/>
              <w:jc w:val="left"/>
            </w:pPr>
            <w:r>
              <w:rPr>
                <w:rFonts w:ascii="Times New Roman" w:hAnsi="Times New Roman" w:cs="Times New Roman" w:eastAsia="Times New Roman"/>
                <w:b w:val="false"/>
                <w:sz w:val="26"/>
              </w:rPr>
              <w:t>27-02-2025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2026-05-13T18:35:45Z</dcterms:created>
  <dc:creator>Apache POI</dc:creator>
</cp:coreProperties>
</file>