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Hồ sơ, thủ tục thực hiện chế độ trợ cấp một lần đối với thân nhân người hoạt động kháng chiến được tặng huân chương, huy chương chết trước ngày 01 tháng 01 năm 1995 mà chưa được hưởng chế độ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lập bản khai kèm biên bản ủy quyền gửi Ủy ban nhân dân cấp xã kèm bản sao một trong các giấy tờ quy định tại Điểm b, Điểm c Khoản 2 Điều 12 Thông tư số 16/2014/TT-BLĐTBXH ngày 30/7/2014;</w:t>
      </w:r>
    </w:p>
    <w:p>
      <w:pPr>
        <w:spacing w:after="0" w:before="0" w:lineRule="auto" w:line="276"/>
        <w:jc w:val="both"/>
      </w:pPr>
      <w:r>
        <w:rPr>
          <w:rFonts w:ascii="Times New Roman" w:hAnsi="Times New Roman" w:cs="Times New Roman" w:eastAsia="Times New Roman"/>
          <w:b w:val="false"/>
          <w:sz w:val="26"/>
        </w:rPr>
        <w:t xml:space="preserve"> Bước 2: Ủy ban nhân dân cấp xã trong thời gian 05 ngày kể từ ngày nhận đủ giấy tờ hợp lệ, có trách nhiệm kiểm tra, xác nhận bản khai và lập danh sách kèm các giấy tờ quy định tại Điểm a Khoản 2 Điều 12 Thông tư số 16/2014/TT-BLĐTBXH ngày 30/7/2014 gửi Phòng Lao động - Thương binh và Xã h</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kể từ ngày nhận đủ giấy tờ, có trách nhiệm kiểm tra, lập danh sách kèm giấy tờ quy định tại Điểm b Khoản 2 Điều 12 Thông tư số 16/2014/TT-BLĐTBXH ngày 30/7/2014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kể từ ngày nhận đủ giấy tờ, có trách nhiệm kiểm tra và ra quyết định trợ cấp một lần theo Mẫu 4 ban hành kèm theo Thông tư số 16/2014/TT-BLĐTBXH ngày 30/7/2014.</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đại diện thân nhân theo Mẫu 3 ban hành kèm theo Thông tư số 16/2014/TT-BLĐTBXH ngày 30/7/2014;</w:t>
            </w:r>
          </w:p>
        </w:tc>
        <w:tc>
          <w:p/>
          <w:p>
            <w:pPr>
              <w:spacing w:after="0" w:before="0" w:lineRule="auto" w:line="276"/>
              <w:jc w:val="left"/>
            </w:pPr>
            <w:r>
              <w:rPr>
                <w:rFonts w:ascii="Times New Roman" w:hAnsi="Times New Roman" w:cs="Times New Roman" w:eastAsia="Times New Roman"/>
                <w:b w:val="false"/>
                <w:sz w:val="26"/>
              </w:rPr>
              <w:t>Mau 03_TT 16_2014_TT_BLDTBXH.doc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do Ủy ban nhân dân cấp xã cấp hoặc các giấy tờ có giá trị pháp lý xác định người có công đã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một trong các giấy tờ quy định tại Thông tư số 05/2013/TT-BLĐTBXH: Khoản 2 Điều 35 đối với người hoạt động kháng chiến giải phóng dân tộc, bảo vệ Tổ quốc và làm nghĩa vụ quốc tế, Khoản 2 Điều 37 đối với người có công giúp đỡ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 Thương binh và Xã hội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tỉnh Thanh Hóa;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18/2018/TT-BLĐTBXH</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05/2013/TT-BLĐTBXH</w:t>
            </w:r>
          </w:p>
        </w:tc>
        <w:tc>
          <w:p/>
          <w:p>
            <w:pPr>
              <w:spacing w:after="0" w:before="0" w:lineRule="auto" w:line="276"/>
              <w:jc w:val="left"/>
            </w:pPr>
            <w:r>
              <w:rPr>
                <w:rFonts w:ascii="Times New Roman" w:hAnsi="Times New Roman" w:cs="Times New Roman" w:eastAsia="Times New Roman"/>
                <w:b w:val="false"/>
                <w:sz w:val="26"/>
              </w:rPr>
              <w:t>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16/2014/TT-BLĐTBXH</w:t>
            </w:r>
          </w:p>
        </w:tc>
        <w:tc>
          <w:p/>
          <w:p>
            <w:pPr>
              <w:spacing w:after="0" w:before="0" w:lineRule="auto" w:line="276"/>
              <w:jc w:val="left"/>
            </w:pPr>
            <w:r>
              <w:rPr>
                <w:rFonts w:ascii="Times New Roman" w:hAnsi="Times New Roman" w:cs="Times New Roman" w:eastAsia="Times New Roman"/>
                <w:b w:val="false"/>
                <w:sz w:val="26"/>
              </w:rPr>
              <w:t>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04/2012/UBTVQH13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2026-05-20T08:03:56Z</dcterms:created>
  <dc:creator>Apache POI</dc:creator>
</cp:coreProperties>
</file>