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1.001731.000.00.00.H29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mai táng cho đối tượng bảo trợ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hộ gia đình hoặc cá nhân tổ chức mai táng cho đối tượng nộp hồ sơ trực tiếp tại Bộ phận tiếp nhận và trả kết quả của Ủy ban nhân dân phường, xã, thị trấn nơi đối tượng nhận trợ cấp xã hội hàng tháng từ thứ hai đến thứ sáu (buổi sáng từ 07 giờ 30 phút đến 11 giờ 30 phút, buổi chiều từ 13 giờ 00 phút đến 17 giờ 00 phút) và buổi sáng thứ bảy từ (07 giờ 30 phút đến 11 giờ 30 phút).</w:t>
      </w:r>
    </w:p>
    <w:p>
      <w:pPr>
        <w:spacing w:after="0" w:before="0" w:lineRule="auto" w:line="276"/>
        <w:jc w:val="both"/>
      </w:pPr>
      <w:r>
        <w:rPr>
          <w:rFonts w:ascii="Times New Roman" w:hAnsi="Times New Roman" w:cs="Times New Roman" w:eastAsia="Times New Roman"/>
          <w:b w:val="false"/>
          <w:sz w:val="26"/>
        </w:rPr>
        <w:t>Bước 2: Bộ phận tiếp nhận và trả kết quả Ủy ban nhân dân phường, xã, thị trấn tiếp nhận hồ sơ, kiểm tra tính đầy đủ và hợp lệ các giấy tờ có trong hồ sơ:
+ Trường hợp hồ sơ đầy đủ theo quy định thì cấp Biên nhận hồ sơ;
+ Trường hợp hồ sơ chưa đầy đủ, nhân viên được phân công tiếp nhận hướng dẫn bằng văn bản cho người nộp hồ sơ bổ sung và hoàn thiện hồ sơ theo quy định.</w:t>
      </w:r>
    </w:p>
    <w:p>
      <w:pPr>
        <w:spacing w:after="0" w:before="0" w:lineRule="auto" w:line="276"/>
        <w:jc w:val="both"/>
      </w:pPr>
      <w:r>
        <w:rPr>
          <w:rFonts w:ascii="Times New Roman" w:hAnsi="Times New Roman" w:cs="Times New Roman" w:eastAsia="Times New Roman"/>
          <w:b w:val="false"/>
          <w:sz w:val="26"/>
        </w:rPr>
        <w:t>Bước 3: Trong thời hạn 02 ngày làm việc kể từ ngày nhận đủ hồ sơ, Chủ tịch Ủy ban nhân dân phường, xã, thị trấn có văn bản đề nghị kèm theo hồ sơ của đối tượng gửi Phòng Lao động - Thương binh và Xã hội.</w:t>
      </w:r>
    </w:p>
    <w:p>
      <w:pPr>
        <w:spacing w:after="0" w:before="0" w:lineRule="auto" w:line="276"/>
        <w:jc w:val="both"/>
      </w:pPr>
      <w:r>
        <w:rPr>
          <w:rFonts w:ascii="Times New Roman" w:hAnsi="Times New Roman" w:cs="Times New Roman" w:eastAsia="Times New Roman"/>
          <w:b w:val="false"/>
          <w:sz w:val="26"/>
        </w:rPr>
        <w:t xml:space="preserve"> Bước 4: Trong thời hạn 03 ngày làm việc, kể từ ngày nhận được hồ sơ của đối tượng và văn bản của Chủ tịch Ủy ban nhân dân phường, xã, thị trấn, Phòng Lao động - Thương binh và Xã hội thẩm định, trình Chủ tịch Ủy ban nhân dân quận, huyện quyết định hỗ trợ chi phí mai táng.</w:t>
      </w:r>
    </w:p>
    <w:p>
      <w:pPr>
        <w:spacing w:after="0" w:before="0" w:lineRule="auto" w:line="276"/>
        <w:jc w:val="both"/>
      </w:pPr>
      <w:r>
        <w:rPr>
          <w:rFonts w:ascii="Times New Roman" w:hAnsi="Times New Roman" w:cs="Times New Roman" w:eastAsia="Times New Roman"/>
          <w:b w:val="false"/>
          <w:sz w:val="26"/>
        </w:rPr>
        <w:t>Bước 5: Căn cứ vào ngày hẹn trên Biên nhận, tổ chức, cá nhân đến nhận kết quả giải quyết tại Bộ phận tiếp nhận và trả kết quả của Ủy ban nhân dân phường, xã, thị trấn.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 (03)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chi phí mai táng của cơ quan, tổ  chức, hộ gia đình hoặc cá nhân đứng ra tổ chức mai táng cho đối tượng (theo Mẫu số 04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giấy báo tử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hoặc danh sách thôi hưởng trợ  cấp bảo hiểm xã hội, trợ cấp khác của cơ quan có thẩm quyền đối với trường hợp người từ đủ 80 tuổi đang hưởng trợ cấp tuất bảo hiểm xã hội hàng tháng, trợ cấp hàng tháng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29/2014/TTLT-BLĐTBXH-BTC</w:t>
            </w:r>
          </w:p>
        </w:tc>
        <w:tc>
          <w:p/>
          <w:p>
            <w:pPr>
              <w:spacing w:after="0" w:before="0" w:lineRule="auto" w:line="276"/>
              <w:jc w:val="left"/>
            </w:pPr>
            <w:r>
              <w:rPr>
                <w:rFonts w:ascii="Times New Roman" w:hAnsi="Times New Roman" w:cs="Times New Roman" w:eastAsia="Times New Roman"/>
                <w:b w:val="false"/>
                <w:sz w:val="26"/>
              </w:rPr>
              <w:t>Thông tư liên tịch 29/2014/TTLT-BLĐTBXH-BTC - Hướng dẫn thực hiện một số điều của Nghị định số 136/2013/NĐ-CP ngày 21 tháng 10 năm 2013 của Chính phủ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Nghị định 20/2021/NĐ-CP</w:t>
            </w:r>
          </w:p>
        </w:tc>
        <w:tc>
          <w:p/>
          <w:p>
            <w:pPr>
              <w:spacing w:after="0" w:before="0" w:lineRule="auto" w:line="276"/>
              <w:jc w:val="left"/>
            </w:pPr>
            <w:r>
              <w:rPr>
                <w:rFonts w:ascii="Times New Roman" w:hAnsi="Times New Roman" w:cs="Times New Roman" w:eastAsia="Times New Roman"/>
                <w:b w:val="false"/>
                <w:sz w:val="26"/>
              </w:rPr>
              <w:t>15-03-2021</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đối tượng khi chết được hỗ trợ chi phí mai táng:
- Đối tượng quy định tại Điều 5 Nghị định số 20/2021/NĐ-CP đang hưởng trợ cấp xã hội hàng tháng.
- Con của người đơn thân nghèo đang nuôi con quy định tại khoản 4 Điều 5 Nghị định số 20/2021/NĐ-CP.
- Người từ đủ 80 tuổi đang hưởng trợ cấp tuất bảo hiểm xã hội hàng tháng, trợ cấp hàng tháng khác.
- Hộ gia đình có người chết, mất tích do thiên tai, hỏa hoạn, dịch bệnh; tai nạn giao thông, tai nạn lao động nghiêm trọng hoặc các lý do bất khả kháng khác.
- Cơ quan, tổ chức, cá nhân tổ chức mai táng cho người chết quy định tại khoản 1 Điều 14 nghị định số 20/2021/NĐ-CP do không có người nhận trách nhiệm tổ chức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2026-05-13T18:37:21Z</dcterms:created>
  <dc:creator>Apache POI</dc:creator>
</cp:coreProperties>
</file>