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chi phí mai táng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người chết, mất tích do thiên tai, hỏa hoạn; tai nạn giao thông, tai nạn lao động đặc biệt nghiêm trọng hoặc các lý do bất khả kháng khác, cơ quan, tổ chức, gia đình hoặc cá nhân trực tiếp mai táng nộp hồ sơ trực tiếp tại Bộ phận tiếp nhận và trả kết quả của Ủy ban nhân dân phường, xã, thị trấn nơi cư trú từ thứ hai đến thứ sáu (buổi sáng từ 07 giờ 30 phút đến 11 giờ 30 phút, buổi chiều từ 13 giờ 00 phút đến 17 giờ 00 phút) và buổi sáng thứ bảy từ (07 giờ 30 phút đến 11 giờ 30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của Ủy ban nhân dân phường, xã, thị trấn tiếp nhận hồ sơ, kiểm tra tính đầy đủ và hợp lệ của các giấy tờ có trong hồ sơ:
+ Trường hợp hồ sơ đầy đủ và hợp lệ theo quy định thì cấp biên nhân hồ sơ;
+ Trường hợp hồ sơ chưa đầy đủ hoặc chưa hợp lệ, công chức phân công tiếp nhận hướng dẫn bằng văn bản cho người nộp hồ sơ bổ sung và hoàn thiện hồ sơ theo quy định</w:t>
      </w:r>
    </w:p>
    <w:p>
      <w:pPr>
        <w:spacing w:after="0" w:before="0" w:lineRule="auto" w:line="276"/>
        <w:jc w:val="both"/>
      </w:pPr>
      <w:r>
        <w:rPr>
          <w:rFonts w:ascii="Times New Roman" w:hAnsi="Times New Roman" w:cs="Times New Roman" w:eastAsia="Times New Roman"/>
          <w:b w:val="false"/>
          <w:sz w:val="26"/>
        </w:rPr>
        <w:t xml:space="preserve"> Bước 3: Trong thời hạn 02 ngày, kể từ ngày nhận được hồ sơ đề nghị của cơ quan, tổ chức, gia đình hoặc cá nhân trực tiếp mai táng, Hội đồng xét duyệt thống nhất danh sách, mức hỗ trợ chi phí mai táng, trình Chủ tịch Ủy ban nhân dân phường, xã, thị trấn quyết định hỗ trợ chi phí mai táng ngay những trường hợp cấp thiết.
Trường hợp thiếu nguồn lực thì có văn bản đề nghị trợ giúp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4:  Phòng Lao động - Thương binh và Xã hội thẩm định, trình Chủ tịch Ủy ban nhân dân cấp huyện quyết định hỗ trợ; Chủ tịch Ủy ban nhân dân quận - huyện xem xét, quyết định hỗ trợ.
Trường hợp thiếu nguồn lực thì có văn bản đề nghị trợ giúp gửi Sở Lao động - Thương binh và Xã hội, Sở Tài chính;</w:t>
      </w:r>
    </w:p>
    <w:p>
      <w:pPr>
        <w:spacing w:after="0" w:before="0" w:lineRule="auto" w:line="276"/>
        <w:jc w:val="both"/>
      </w:pPr>
      <w:r>
        <w:rPr>
          <w:rFonts w:ascii="Times New Roman" w:hAnsi="Times New Roman" w:cs="Times New Roman" w:eastAsia="Times New Roman"/>
          <w:b w:val="false"/>
          <w:sz w:val="26"/>
        </w:rPr>
        <w:t>Bước 5: Sở Lao động - Thương binh và Xã hội chủ trì, phối hợp với Sở Tài chính tổng hợp, trình Chủ tịch Ủy ban nhân dân Thành phố xem xét, quyết định. Trường hợp thiếu nguồn lực, Chủ tịch Ủy ban nhân dân Thành phố có văn bản gửi Bộ Lao động - Thương binh và Xã hội, Bộ Tài chính;</w:t>
      </w:r>
    </w:p>
    <w:p>
      <w:pPr>
        <w:spacing w:after="0" w:before="0" w:lineRule="auto" w:line="276"/>
        <w:jc w:val="both"/>
      </w:pPr>
      <w:r>
        <w:rPr>
          <w:rFonts w:ascii="Times New Roman" w:hAnsi="Times New Roman" w:cs="Times New Roman" w:eastAsia="Times New Roman"/>
          <w:b w:val="false"/>
          <w:sz w:val="26"/>
        </w:rPr>
        <w:t>Bước 6: Bộ Lao động - Thương binh và Xã hội chủ trì, phối hợp với Bộ Tài chính trình Thủ tướng Chính phủ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khi Chủ tịch Ủy ban nhân dân cấp huyện nhận được đề nghị của Chủ tịch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tử của đối tượng đối với trường hợp hộ gia đình có người chết, mất tích do thiên tai, hỏa hoạn, dịch bệnh; tai nạn giao thông, tai nạn lao động nghiêm trọng hoặc các lý do bất khả kháng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công an cấp xã đối với trường hợp cơ quan, tổ chức, cá nhân tổ chức mai táng cho người chết do không có người nhận trách nhiệm tổ chức mai táng.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được hỗ trợ chi phí mai táng: Hộ gia đình có người chết, mất tích do thiên tai, hỏa hoạn, dịch bệnh; tai nạn giao thông, tai nạn lao động nghiêm trọng hoặc các lý do bất khả kháng khác.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2026-05-13T18:33:54Z</dcterms:created>
  <dc:creator>Apache POI</dc:creator>
</cp:coreProperties>
</file>