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1.004269.000.00.00.H56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cung cấp dữ liệu đất đai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Tổ chức, cá nhân có nhu cầu khai thác dữ liệu đất đai nộp phiếu yêu cầu hoặc gửi văn bản yêu cầu đến Văn phòng đăng ký đất đai/Chi nhánh Văn phòng đăng ký đất đai hoặc Ủy ban nhân dân cấp xã;</w:t>
      </w:r>
    </w:p>
    <w:p>
      <w:pPr>
        <w:spacing w:after="0" w:before="0" w:lineRule="auto" w:line="276"/>
        <w:jc w:val="both"/>
      </w:pPr>
      <w:r>
        <w:rPr>
          <w:rFonts w:ascii="Times New Roman" w:hAnsi="Times New Roman" w:cs="Times New Roman" w:eastAsia="Times New Roman"/>
          <w:b w:val="false"/>
          <w:sz w:val="26"/>
        </w:rPr>
        <w:t>Bước 2:
- Khi nhận được phiếu yêu cầu, văn bản yêu cầu hợp lệ của tổ chức, cá nhân, cơ quan cung cấp dữ liệu đất đai thực hiện việc cung cấp dữ liệu cho tổ chức, cá nhân có yêu cầu khai thác dữ liệu. Cơ quan cung cấp dữ liệu đất đai tiếp nhận, xử lý và thông báo nghĩa vụ tài chính (trường hợp phải thực hiện nghĩa vụ tài chính) cho tổ chức, cá nhân. Trường hợp từ chối cung cấp dữ liệu thì phải có văn bản trả lời nêu rõ lý do;</w:t>
      </w:r>
    </w:p>
    <w:p>
      <w:pPr>
        <w:spacing w:after="0" w:before="0" w:lineRule="auto" w:line="276"/>
        <w:jc w:val="both"/>
      </w:pPr>
      <w:r>
        <w:rPr>
          <w:rFonts w:ascii="Times New Roman" w:hAnsi="Times New Roman" w:cs="Times New Roman" w:eastAsia="Times New Roman"/>
          <w:b w:val="false"/>
          <w:sz w:val="26"/>
        </w:rPr>
        <w:t>Bước 3:
- Sau khi tổ chức, cá nhân thực hiện xong nghĩa vụ tài chính, cơ quan cung cấp dữ liệu đất đai thực hiện cung cấp dữ liệu đất đai theo yêu cầu.Đối với các trường hợp khai thác dữ liệu cần phải tổng hợp, xử lý trước khi cung cấp cho tổ chức, cá nhân thì phải thực hiện bằng hình thức hợp đồng theo quy định của Bộ luật dân sự giữa cơ quan cung cấp dữ liệu đất đai và tổ chức, cá nhân có nhu cầu khai thác dữ liệu.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nhận được yêu cầu trước 15 giờ thì phải cung cấp ngay trong ngày; trường hợp nhận được yêu cầu sau 15 giờ thì cung cấp dữ liệu đất đai được thực hiện vào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hợp đồng </w:t>
            </w:r>
          </w:p>
        </w:tc>
        <w:tc>
          <w:p/>
          <w:p>
            <w:pPr>
              <w:spacing w:after="0" w:before="0" w:lineRule="auto" w:line="276"/>
              <w:jc w:val="left"/>
            </w:pPr>
            <w:r>
              <w:rPr>
                <w:rFonts w:ascii="Times New Roman" w:hAnsi="Times New Roman" w:cs="Times New Roman" w:eastAsia="Times New Roman"/>
                <w:b w:val="false"/>
                <w:sz w:val="26"/>
              </w:rPr>
              <w:t xml:space="preserve">Phí : Biểu mẫu kèm theo </w:t>
              <w:br/>
              <w:t>File đính kèm: Phí cung cấp dữ liệu đất đai.docx</w:t>
            </w:r>
          </w:p>
        </w:tc>
        <w:tc>
          <w:p/>
          <w:p>
            <w:pPr>
              <w:spacing w:after="0" w:before="0" w:lineRule="auto" w:line="276"/>
              <w:jc w:val="left"/>
            </w:pPr>
            <w:r>
              <w:rPr>
                <w:rFonts w:ascii="Times New Roman" w:hAnsi="Times New Roman" w:cs="Times New Roman" w:eastAsia="Times New Roman"/>
                <w:b w:val="false"/>
                <w:sz w:val="26"/>
              </w:rPr>
              <w:t>Trường hợp yêu cầu cung cấp dữ liệu đất đai dưới hình thức tổng hợp thông tin thì thời hạn cung cấp dữ liệu đất đai được xác định theo thỏa thuận giữa cơ quan cung cấp dữ liệu đất đai và người có yêu cầu bằng hình thức hợp đồng.
Địa chỉ trực tuyến tại  https://dichvucong.thanhhoa.gov.vn (Toàn trình) 20 DVC không sử dụng hồ sơ giấy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cung cấp dữ liệu đất đai Mẫu số 01/PYC</w:t>
            </w:r>
          </w:p>
        </w:tc>
        <w:tc>
          <w:p/>
          <w:p>
            <w:pPr>
              <w:spacing w:after="0" w:before="0" w:lineRule="auto" w:line="276"/>
              <w:jc w:val="left"/>
            </w:pPr>
            <w:r>
              <w:rPr>
                <w:rFonts w:ascii="Times New Roman" w:hAnsi="Times New Roman" w:cs="Times New Roman" w:eastAsia="Times New Roman"/>
                <w:b w:val="false"/>
                <w:sz w:val="26"/>
              </w:rPr>
              <w:t>Mau so 01-PYC.pdf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Ủy ban nhân dân cấp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 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 Bộ phận tiếp nhận và trả kết quả của Sở Tài nguyên và Môi trường Thanh Hóa (số 14 Hạc Thành, phường Tân Sơn, thành phố Thanh Hóa, tỉnh Thanh Hóa), - Địa chỉ trực tuyến: https://dichvucong.thanhhoa.gov.vn (mức độ 4); 2. Bộ phận tiếp nhận hồ sơ và trả kết quả của Chi nhánh  Văn phòng đăng ký đất đai  tại UBND cấp huyện; Bộ phận tiếp nhận hồ sơ và trả kết quả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Dữ liệu đất đai trên giấy hoặc thiết bị lưu trữ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43/2014/NĐ -CP</w:t>
            </w:r>
          </w:p>
        </w:tc>
        <w:tc>
          <w:p/>
          <w:p>
            <w:pPr>
              <w:spacing w:after="0" w:before="0" w:lineRule="auto" w:line="276"/>
              <w:jc w:val="left"/>
            </w:pPr>
            <w:r>
              <w:rPr>
                <w:rFonts w:ascii="Times New Roman" w:hAnsi="Times New Roman" w:cs="Times New Roman" w:eastAsia="Times New Roman"/>
                <w:b w:val="false"/>
                <w:sz w:val="26"/>
              </w:rPr>
              <w:t>Nghị định số 43/2014/NĐ -CP ngày 15 tháng 5 năm 2014 của Chính Phủ quy định chi tiết một số điều của luật Đất đai</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34/2014/TT-BTNMT</w:t>
            </w:r>
          </w:p>
        </w:tc>
        <w:tc>
          <w:p/>
          <w:p>
            <w:pPr>
              <w:spacing w:after="0" w:before="0" w:lineRule="auto" w:line="276"/>
              <w:jc w:val="left"/>
            </w:pPr>
            <w:r>
              <w:rPr>
                <w:rFonts w:ascii="Times New Roman" w:hAnsi="Times New Roman" w:cs="Times New Roman" w:eastAsia="Times New Roman"/>
                <w:b w:val="false"/>
                <w:sz w:val="26"/>
              </w:rPr>
              <w:t>THÔNG TƯ  QUY ĐỊNH VỀ XÂY DỰNG, QUẢN LÝ, KHAI THÁC HỆ THỐNG THÔNG TIN ĐẤT ĐAI</w:t>
            </w:r>
          </w:p>
        </w:tc>
        <w:tc>
          <w:p/>
          <w:p>
            <w:pPr>
              <w:spacing w:after="0" w:before="0" w:lineRule="auto" w:line="276"/>
              <w:jc w:val="left"/>
            </w:pPr>
            <w:r>
              <w:rPr>
                <w:rFonts w:ascii="Times New Roman" w:hAnsi="Times New Roman" w:cs="Times New Roman" w:eastAsia="Times New Roman"/>
                <w:b w:val="false"/>
                <w:sz w:val="26"/>
              </w:rPr>
              <w:t>30-06-2014</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2026-05-20T08:04:02Z</dcterms:created>
  <dc:creator>Apache POI</dc:creator>
</cp:coreProperties>
</file>