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nhân vào làm viên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Trường hợp xem xét tiếp nhận vào viên chức:</w:t>
      </w:r>
    </w:p>
    <w:p>
      <w:pPr>
        <w:spacing w:after="0" w:before="0" w:lineRule="auto" w:line="276"/>
        <w:jc w:val="both"/>
      </w:pPr>
      <w:r>
        <w:rPr>
          <w:rFonts w:ascii="Times New Roman" w:hAnsi="Times New Roman" w:cs="Times New Roman" w:eastAsia="Times New Roman"/>
          <w:b w:val="false"/>
          <w:sz w:val="26"/>
        </w:rPr>
        <w:t>Căn cứ điều kiện đăng ký dự tuyển viên chức theo yêu cầu của vị trí việc làm cần tuyển dụng, người đứng đầu cơ quan, đơn vị có thẩm quyền tuyển dụng viên chức được xem xét tiếp nhận vào viên chức đối với các trường hợp:</w:t>
      </w:r>
    </w:p>
    <w:p>
      <w:pPr>
        <w:spacing w:after="0" w:before="0" w:lineRule="auto" w:line="276"/>
        <w:jc w:val="both"/>
      </w:pPr>
      <w:r>
        <w:rPr>
          <w:rFonts w:ascii="Times New Roman" w:hAnsi="Times New Roman" w:cs="Times New Roman" w:eastAsia="Times New Roman"/>
          <w:b w:val="false"/>
          <w:sz w:val="26"/>
        </w:rPr>
        <w:t>a) Các trường hợp có ít nhất 05 năm công tác ở vị trí việc làm yêu cầu trình độ đào tạo đại học trở lên phù hợp với yêu cầu của vị trí việc làm cần tuyển dụng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gồm:</w:t>
      </w:r>
    </w:p>
    <w:p>
      <w:pPr>
        <w:spacing w:after="0" w:before="0" w:lineRule="auto" w:line="276"/>
        <w:jc w:val="both"/>
      </w:pPr>
      <w:r>
        <w:rPr>
          <w:rFonts w:ascii="Times New Roman" w:hAnsi="Times New Roman" w:cs="Times New Roman" w:eastAsia="Times New Roman"/>
          <w:b w:val="false"/>
          <w:sz w:val="26"/>
        </w:rPr>
        <w:t>Người ký hợp đồng lao động theo đúng quy định của pháp luật làm công việc chuyên môn, nghiệp vụ trong đơn vị sự nghiệp công lập tự bảo đảm chi thường xuyên, chi đầu tư và đơn vị sự nghiệp công lập tự bảo đảm chi thường xuyên hoặc đơn vị sự nghiệp ngoài công lập;</w:t>
      </w:r>
    </w:p>
    <w:p>
      <w:pPr>
        <w:spacing w:after="0" w:before="0" w:lineRule="auto" w:line="276"/>
        <w:jc w:val="both"/>
      </w:pPr>
      <w:r>
        <w:rPr>
          <w:rFonts w:ascii="Times New Roman" w:hAnsi="Times New Roman" w:cs="Times New Roman" w:eastAsia="Times New Roman"/>
          <w:b w:val="false"/>
          <w:sz w:val="26"/>
        </w:rPr>
        <w:t>Người hưởng lương trong lực lượng vũ trang (quân đội, công an) và người làm công tác cơ yếu;</w:t>
      </w:r>
    </w:p>
    <w:p>
      <w:pPr>
        <w:spacing w:after="0" w:before="0" w:lineRule="auto" w:line="276"/>
        <w:jc w:val="both"/>
      </w:pPr>
      <w:r>
        <w:rPr>
          <w:rFonts w:ascii="Times New Roman" w:hAnsi="Times New Roman" w:cs="Times New Roman" w:eastAsia="Times New Roman"/>
          <w:b w:val="false"/>
          <w:sz w:val="26"/>
        </w:rPr>
        <w:t>Cán bộ, công chức cấp xã;</w:t>
      </w:r>
    </w:p>
    <w:p>
      <w:pPr>
        <w:spacing w:after="0" w:before="0" w:lineRule="auto" w:line="276"/>
        <w:jc w:val="both"/>
      </w:pPr>
      <w:r>
        <w:rPr>
          <w:rFonts w:ascii="Times New Roman" w:hAnsi="Times New Roman" w:cs="Times New Roman" w:eastAsia="Times New Roman"/>
          <w:b w:val="false"/>
          <w:sz w:val="26"/>
        </w:rPr>
        <w:t>Người đang làm việc tại doanh nghiệp là công ty trách nhiệm hữu hạn một thành viên mà Nhà nước nắm giữ 100% vốn điều lệ hoặc doanh nghiệp mà Nhà nước nắm giữ trên 50% vốn điều lệ.</w:t>
      </w:r>
    </w:p>
    <w:p>
      <w:pPr>
        <w:spacing w:after="0" w:before="0" w:lineRule="auto" w:line="276"/>
        <w:jc w:val="both"/>
      </w:pPr>
      <w:r>
        <w:rPr>
          <w:rFonts w:ascii="Times New Roman" w:hAnsi="Times New Roman" w:cs="Times New Roman" w:eastAsia="Times New Roman"/>
          <w:b w:val="false"/>
          <w:sz w:val="26"/>
        </w:rPr>
        <w:t>b) Người có tài năng, năng khiếu đặc biệt phù hợp với vị trí việc làm trong các ngành, lĩnh vực: Văn hóa, nghệ thuật, thể dục thể thao, các ngành nghề truyền thống.</w:t>
      </w:r>
    </w:p>
    <w:p>
      <w:pPr>
        <w:spacing w:after="0" w:before="0" w:lineRule="auto" w:line="276"/>
        <w:jc w:val="both"/>
      </w:pPr>
      <w:r>
        <w:rPr>
          <w:rFonts w:ascii="Times New Roman" w:hAnsi="Times New Roman" w:cs="Times New Roman" w:eastAsia="Times New Roman"/>
          <w:b w:val="false"/>
          <w:sz w:val="26"/>
        </w:rPr>
        <w:t>c) Trường hợp đã là cán bộ, công chức, viên chức, sau đó được cấp có thẩm quyền đồng ý chuyển đến làm việc tại lực lượng vũ trang, cơ yếu, tổ chức chính trị - xã hội - nghề nghiệp, tổ chức xã hội, tổ chức xã hội - nghề nghiệp, doanh nghiệp mà Nhà nước nắm giữ trên 50% vốn điều lệ.</w:t>
      </w:r>
    </w:p>
    <w:p>
      <w:pPr>
        <w:shd w:val="clear" w:color="auto" w:fill="F2F6F9"/>
        <w:spacing w:after="0" w:before="120" w:lineRule="auto" w:line="276"/>
        <w:jc w:val="both"/>
      </w:pPr>
      <w:r>
        <w:rPr>
          <w:rFonts w:ascii="Times New Roman" w:hAnsi="Times New Roman" w:cs="Times New Roman" w:eastAsia="Times New Roman"/>
          <w:b w:val="true"/>
          <w:sz w:val="26"/>
        </w:rPr>
        <w:t>Bước 2. Thành lập Hội đồng sát hạch</w:t>
      </w:r>
    </w:p>
    <w:p>
      <w:pPr>
        <w:spacing w:after="0" w:before="0" w:lineRule="auto" w:line="276"/>
        <w:jc w:val="both"/>
      </w:pPr>
      <w:r>
        <w:rPr>
          <w:rFonts w:ascii="Times New Roman" w:hAnsi="Times New Roman" w:cs="Times New Roman" w:eastAsia="Times New Roman"/>
          <w:b w:val="false"/>
          <w:sz w:val="26"/>
        </w:rPr>
        <w:t>a) Khi xem xét tiếp nhận vào viên chức đối với các trường hợp quy định tại điểm a và điểm b khoản 1 Điều này, người đứng đầu cơ quan, đơn vị có thẩm quyền tuyển dụng viên chức phải thành lập Hội đồng kiểm tra sát hạch. Hội đồng kiểm tra sát hạch có 05 hoặc 07 thành viên, bao gồm:</w:t>
      </w:r>
    </w:p>
    <w:p>
      <w:pPr>
        <w:spacing w:after="0" w:before="0" w:lineRule="auto" w:line="276"/>
        <w:jc w:val="both"/>
      </w:pPr>
      <w:r>
        <w:rPr>
          <w:rFonts w:ascii="Times New Roman" w:hAnsi="Times New Roman" w:cs="Times New Roman" w:eastAsia="Times New Roman"/>
          <w:b w:val="false"/>
          <w:sz w:val="26"/>
        </w:rPr>
        <w:t>Chủ tịch Hội đồng là người đứng đầu hoặc cấp phó của người đứng đầu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Phó Chủ tịch Hội đồng là người đứng đầu bộ phận tham mưu về công tác tổ chức cán bộ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Một ủy viên kiêm Thư ký Hội đồng là người của bộ phận tham mưu về công tác tổ chức cán bộ của cơ quan, đơn vị có thẩm quyền tuyển dụng viên chức;</w:t>
      </w:r>
    </w:p>
    <w:p>
      <w:pPr>
        <w:spacing w:after="0" w:before="0" w:lineRule="auto" w:line="276"/>
        <w:jc w:val="both"/>
      </w:pPr>
      <w:r>
        <w:rPr>
          <w:rFonts w:ascii="Times New Roman" w:hAnsi="Times New Roman" w:cs="Times New Roman" w:eastAsia="Times New Roman"/>
          <w:b w:val="false"/>
          <w:sz w:val="26"/>
        </w:rPr>
        <w:t>Các Ủy viên khác là đại diện một số bộ phận chuyên môn, nghiệp vụ có liên quan đến vị trí tuyển dụng do người đứng đầu cơ quan, đơn vị có thẩm quyền tuyển dụng viên chức quyết định.</w:t>
      </w:r>
    </w:p>
    <w:p>
      <w:pPr>
        <w:spacing w:after="0" w:before="0" w:lineRule="auto" w:line="276"/>
        <w:jc w:val="both"/>
      </w:pPr>
      <w:r>
        <w:rPr>
          <w:rFonts w:ascii="Times New Roman" w:hAnsi="Times New Roman" w:cs="Times New Roman" w:eastAsia="Times New Roman"/>
          <w:b w:val="false"/>
          <w:sz w:val="26"/>
        </w:rPr>
        <w:t>b) Nhiệm vụ, quyền hạn của Hội đồng kiểm tra, sát hạch:</w:t>
      </w:r>
    </w:p>
    <w:p>
      <w:pPr>
        <w:spacing w:after="0" w:before="0" w:lineRule="auto" w:line="276"/>
        <w:jc w:val="both"/>
      </w:pPr>
      <w:r>
        <w:rPr>
          <w:rFonts w:ascii="Times New Roman" w:hAnsi="Times New Roman" w:cs="Times New Roman" w:eastAsia="Times New Roman"/>
          <w:b w:val="false"/>
          <w:sz w:val="26"/>
        </w:rPr>
        <w:t>Kiểm tra về các điều kiện, tiêu chuẩn, văn bằng, chứng chỉ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Sát hạch về trình độ hiểu biết chung và năng lực chuyên môn, nghiệp vụ của người được đề nghị tiếp nhận. Hình thức và nội dung sát hạch do Hội đồng kiểm tra, sát hạch căn cứ vào yêu cầu của vị trí việc làm cần tuyển, báo cáo người đứng đầu cơ quan, đơn vị có thẩm quyền tuyển dụng viên chức xem xét, quyết định trước khi tổ chức sát hạch;</w:t>
      </w:r>
    </w:p>
    <w:p>
      <w:pPr>
        <w:spacing w:after="0" w:before="0" w:lineRule="auto" w:line="276"/>
        <w:jc w:val="both"/>
      </w:pPr>
      <w:r>
        <w:rPr>
          <w:rFonts w:ascii="Times New Roman" w:hAnsi="Times New Roman" w:cs="Times New Roman" w:eastAsia="Times New Roman"/>
          <w:b w:val="false"/>
          <w:sz w:val="26"/>
        </w:rPr>
        <w:t>Hội đồng kiểm tra, sát hạch làm việc theo nguyên tắc tập thể, quyết định theo đa số. Trường hợp số ý kiến bằng nhau thì quyết định theo ý kiến của Chủ tịch Hội đồng. Hội đồng kiểm tra, sát hạch tự giải thể sau khi hoàn thành nhiệm vụ.</w:t>
      </w:r>
    </w:p>
    <w:p>
      <w:pPr>
        <w:spacing w:after="0" w:before="0" w:lineRule="auto" w:line="276"/>
        <w:jc w:val="both"/>
      </w:pPr>
      <w:r>
        <w:rPr>
          <w:rFonts w:ascii="Times New Roman" w:hAnsi="Times New Roman" w:cs="Times New Roman" w:eastAsia="Times New Roman"/>
          <w:b w:val="false"/>
          <w:sz w:val="26"/>
        </w:rPr>
        <w:t>c) Người đứng đầu cơ quan, đơn vị có thẩm quyền tuyển dụng viên chức quyết định theo thẩm quyền hoặc có văn bản báo cáo người đứng đầu cơ quan có thẩm quyền quản lý viên chức thống nhất kết quả tiếp nhận vào viên chức theo quy định tại khoản 1 Điều này trước khi quyết định tuyển dụng theo thẩm quyền.</w:t>
      </w:r>
    </w:p>
    <w:p>
      <w:pPr>
        <w:shd w:val="clear" w:color="auto" w:fill="F2F6F9"/>
        <w:spacing w:after="0" w:before="120" w:lineRule="auto" w:line="276"/>
        <w:jc w:val="both"/>
      </w:pPr>
      <w:r>
        <w:rPr>
          <w:rFonts w:ascii="Times New Roman" w:hAnsi="Times New Roman" w:cs="Times New Roman" w:eastAsia="Times New Roman"/>
          <w:b w:val="true"/>
          <w:sz w:val="26"/>
        </w:rPr>
        <w:t>Bước 3. Ký kết Hợp đồng làm việc.</w:t>
      </w:r>
    </w:p>
    <w:p>
      <w:pPr>
        <w:spacing w:after="0" w:before="0" w:lineRule="auto" w:line="276"/>
        <w:jc w:val="both"/>
      </w:pPr>
      <w:r>
        <w:rPr>
          <w:rFonts w:ascii="Times New Roman" w:hAnsi="Times New Roman" w:cs="Times New Roman" w:eastAsia="Times New Roman"/>
          <w:b w:val="false"/>
          <w:sz w:val="26"/>
        </w:rPr>
        <w:t>Ký kết Hợp đồng làm việc.
(Khoản 7 Điều 2 Nghị định số 161/2018/NĐ-CP):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tuyển dụng.
(Khoản 2, Khoản 3 Điều 9 Thông tư số 15/2012/TT-BNV)
	- Người đứng đầu, cơ quan, đơn vị có thẩm quyền tuyển dụng viên chức có văn bản đề nghị người đứng đầu cơ quan có thẩm quyền quản lý viên chức công nhận kết quả xét tuyển đặc cách. Văn bản đề nghị do người đứng đầu hoặc cấp phó của người đứng đầu cơ quan, đơn vị có thẩm quyền tuyển dụng viên chức ký, trong đó nêu rõ vị trí việc làm cần tuyển dụng và kèm theo biên bản họp Hội đồng kiểm tra, sát hạch và hồ sơ của từng trường hợp đủ điều kiện, tiêu chuẩn xét đặc cách.
	- Trong thời hạn 20 ngày làm việc, kể từ ngày nhận được văn bản đề nghị, người đứng đầu cơ quan có thẩm quyền quản lý viên chức có trách nhiệm chỉ đạo tổ chức thẩm định và phải có văn bản trả lời; nếu quá thời hạn quy định mà chưa có văn bản trả lời thì coi như đồng ý. Trường hợp hồ sơ chưa đủ theo quy định thì trong thời hạn 5 ngày làm việc, kể từ ngày nhận được văn bản đề nghị, cơ quan có thẩm quyền quản lý viên chức phải có văn bản đề nghị cơ quan, đơn vị có thẩm quyền tuyển dụng viên chức bổ sung, hoàn thiện đủ hồ sơ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trụ sở cơ quan tuyển dụng.
(Khoản 2, Khoản 3 Điều 9 Thông tư số 15/2012/TT-BNV)
	- Người đứng đầu, cơ quan, đơn vị có thẩm quyền tuyển dụng viên chức có văn bản đề nghị người đứng đầu cơ quan có thẩm quyền quản lý viên chức công nhận kết quả xét tuyển đặc cách. Văn bản đề nghị do người đứng đầu hoặc cấp phó của người đứng đầu cơ quan, đơn vị có thẩm quyền tuyển dụng viên chức ký, trong đó nêu rõ vị trí việc làm cần tuyển dụng và kèm theo biên bản họp Hội đồng kiểm tra, sát hạch và hồ sơ của từng trường hợp đủ điều kiện, tiêu chuẩn xét đặc cách.
	- Trong thời hạn 20 ngày làm việc, kể từ ngày nhận được văn bản đề nghị, người đứng đầu cơ quan có thẩm quyền quản lý viên chức có trách nhiệm chỉ đạo tổ chức thẩm định và phải có văn bản trả lời; nếu quá thời hạn quy định mà chưa có văn bản trả lời thì coi như đồng ý. Trường hợp hồ sơ chưa đủ theo quy định thì trong thời hạn 5 ngày làm việc, kể từ ngày nhận được văn bản đề nghị, cơ quan có thẩm quyền quản lý viên chức phải có văn bản đề nghị cơ quan, đơn vị có thẩm quyền tuyển dụng viên chức bổ sung, hoàn thiện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Sơ yếu lý lịch viên chức theo quy định hiện hành được lập chậm nhất là 30 ngày trước ngày nộp hồ sơ tiếp nhận, có xác nhận của cơ quan, tổ chức, đơn vị nơi công tác;</w:t>
            </w:r>
          </w:p>
        </w:tc>
        <w:tc>
          <w:p/>
          <w:p>
            <w:pPr>
              <w:spacing w:after="0" w:before="0" w:lineRule="auto" w:line="276"/>
              <w:jc w:val="left"/>
            </w:pPr>
            <w:r>
              <w:rPr>
                <w:rFonts w:ascii="Times New Roman" w:hAnsi="Times New Roman" w:cs="Times New Roman" w:eastAsia="Times New Roman"/>
                <w:b w:val="false"/>
                <w:sz w:val="26"/>
              </w:rPr>
              <w:t>MuHS02.docx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các văn bằng, chứng chỉ theo yêu cầu của vị trí việc làm cần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đơn vị tiếp nhận viên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viên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29/2012/NĐ-CP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161/2018/NĐ-CP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15/2012/TT-BNV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25-12-2012</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tiếp nhận vào viên chức:  
1. Các trường hợp có ít nhất 05 năm công tác ở vị trí việc làm yêu cầu trình độ đào tạo đại học trở lên phù hợp với yêu cầu của vị trí việc làm cần tuyển và có đóng bảo hiểm xã hội bắt buộc (không kể thời gian tập sự, thử việc, nếu có thời gian công tác có đóng bảo hiểm xã hội bắt buộc không liên tục mà chưa nhận trợ cấp bảo hiểm xã hội một lần thì được cộng dồn, kể cả thời gian công tác nếu có trước đó ở vị trí công việc thuộc các đối tượng quy định tại khoản này), gồm:  
Người đang là cán bộ, công chức cấp xã;  đơn vị sự nghiệp công lập hoặc đơn vị sự nghiệp ngoài công lập theo quy định của pháp luật;  
Người hưởng lương trong lực lượng vũ trang nhân dân, người làm việc trong tổ chức cơ yếu;  
Người đang làm việc tại doanh nghiệp do Nhà nước nắm giữ 100% vốn điều lệ, doanh nghiệp do Nhà nước nắm giữ trên 50% vốn điều lệ hoặc tổng số cổ phần có quyền biểu quyết;  
Người đang làm việc trong các tổ chức chính trị - xã hội nghề nghiệp, tổ chức xã hội, tổ chức xã hội - nghề nghiệp. 
2. Người có tài năng, năng khiếu đặc biệt phù hợp với vị trí việc làm trong các ngành, lĩnh vực: Văn hóa, nghệ thuật, thể dục thể thao, các ngành nghề truyền thống.  
3. Người đã từng là cán bộ, công chức, viên chức, sau đó được cấp có thẩm quyền đồng ý chuyển đến làm việc tại lực lượng vũ trang, cơ yếu, tổ chức chính trị xã hội - nghề nghiệp, tổ chức xã hội, tổ chức xã hội - nghề nghiệp, doanh nghiệp do Nhà nước nắm giữ 100% vốn điều lệ hoặc doanh nghiệp do Nhà nước nắm giữ trên 50% vốn điều lệ hoặc tổng số cổ phần có quyền biểu quyết.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2026-05-07T05:31:11Z</dcterms:created>
  <dc:creator>Apache POI</dc:creator>
</cp:coreProperties>
</file>