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về môi trường đối với đề nghị điều chỉnh, thay đổi nội dung báo cáo đánh giá tác động môi trường đã được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Nộp hồ sơ: Chủ dự án nộp hồ sơ đề nghị chấp thuận về môi trường đối với đề nghị thay đổi nội dung báo cáo đánh giá tác động môi trường đã được phê duyệt đến Ủy ban nhân dân tỉnh/thành phố trực thuộc Trung ương (gọi tắt là UBND cấp tỉnh). 
Bước 2. Kiểm tra hồ sơ: Cơ quan chuyên môn được UBND cấp tỉnh giao nhiệm vụ xử lý xem xét, kiểm tra hồ sơ; trường hợp hồ sơ không đầy đủ, hợp lệ, cơ quan thẩm định phải có văn bản thông báo cho chủ dự án.
Bước 3. Xem xét hồ sơ: 
- Việc xem xét, chấp thuận về môi trường đối với đề nghị thay đổi nội dung báo cáo đánh giá tác động môi trường đã được phê duyệt thực hiện thông qua hình thức lấy ý kiến của ít nhất 03 chuyên gia làm cơ sở để cơ quan phê duyệt báo cáo đánh giá tác động môi trường xem xét, quyết định. 
- Nội dung Báo cáo xem xét, chấp thuận về môi trường đối với đề nghị thay đổi nội dung báo cáo đánh giá tác động môi trường đã được phê duyệt bao gồm: những nội dung thay đổi; các tác động môi trường, chất thải phát sinh từ những thay đổi; các biện pháp giảm thiểu tác động, xử lý chất thải phát sinh kèm theo các thay đổi quản lý, giám sát môi trường theo Mẫu số 3.2 (kèm theo).
Bước 4. Trả kết quả
- Cơ quan chuyên môn được giao xử lý trình UBND cấp tỉnh hồ sơ đề nghị chấp thuận về môi trường do chủ dự án gửi đến. UBND cấp tỉnh ban hành Văn bản chấp thuận hoặc không chấp thuận với lý do rõ ràng.
- UBND cấp tỉnh gửi Văn bản đến chủ dự án và các cơ quan liên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05 (năm) ngày
- Thời hạn xem xét, chấp thuận về môi trường: Tối đa là 10 (mười)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Tại Sở Tài nguyên và Môi trường: Địa chỉ trực tuyến: https://dichvucong .thanhhoa.gov.vn (mức độ 4);
- Tại Ban Quản lý khu kinh tế Nghi Sơn và các khu công nghiệp: Địa chỉ trực tuyến: https://dichvucong .thanhhoa.gov.vn (mức độ 3);</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05 (năm) ngày
- Thời hạn xem xét, chấp thuận về môi trường: Tối đa là 10 (mười)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thay đổi của chủ dự án theo Mẫu số 3.1 (kèm theo).</w:t>
            </w:r>
          </w:p>
        </w:tc>
        <w:tc>
          <w:p/>
          <w:p>
            <w:pPr>
              <w:spacing w:after="0" w:before="0" w:lineRule="auto" w:line="276"/>
              <w:jc w:val="left"/>
            </w:pPr>
            <w:r>
              <w:rPr>
                <w:rFonts w:ascii="Times New Roman" w:hAnsi="Times New Roman" w:cs="Times New Roman" w:eastAsia="Times New Roman"/>
                <w:b w:val="false"/>
                <w:sz w:val="26"/>
              </w:rPr>
              <w:t>Phụ lục 3.1.docx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về những nội dung thay đổi; các tác động môi trường, chất thải phát sinh từ những thay đổi; các biện pháp giảm thiểu tác động, xử lý chất thải phát sinh kèm theo các thay đổi quản lý, giám sát môi trường theo Mẫu số 3.2 (kèm theo).</w:t>
            </w:r>
          </w:p>
        </w:tc>
        <w:tc>
          <w:p/>
          <w:p>
            <w:pPr>
              <w:spacing w:after="0" w:before="0" w:lineRule="auto" w:line="276"/>
              <w:jc w:val="left"/>
            </w:pPr>
            <w:r>
              <w:rPr>
                <w:rFonts w:ascii="Times New Roman" w:hAnsi="Times New Roman" w:cs="Times New Roman" w:eastAsia="Times New Roman"/>
                <w:b w:val="false"/>
                <w:sz w:val="26"/>
              </w:rPr>
              <w:t>Phụ lục  3.2.docx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Hóa, . - Địa chỉ trực tuyến: https://dichvucong .thanhhoa.gov.vn (mức độ 4; - Bộ phận tiếp nhận và trả kết quả của Ban Quản lý Khu kinh tế Nghi Sơn và các khu công nghiệp tỉnh Thanh Hóa tại Km 372 Quốc lộ 1A, xã Trúc Lâm,  thị xã Nghi Sơn,  tỉnh Thanh Hóa. (đối với dự án đầu tư thực hiện tại Khu kinh tế Nghi Sơn; khu công nghiệp Lễ Môn; khu công nghiệp Đình Hương - Tây Bắc Ga; khu công nghiệp Hoàng Long; khu công nghiệp Bỉm Sơn; khu công nghiệp Lam Sơn - Sao Vàng) Địa chỉ trực tuyến: https://dichvucong .thanhhoa.gov.vn (mức độ 3);</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kết quả về đề nghị chấp thuận về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25/2019/TT-BTNMT</w:t>
            </w:r>
          </w:p>
        </w:tc>
        <w:tc>
          <w:p/>
          <w:p>
            <w:pPr>
              <w:spacing w:after="0" w:before="0" w:lineRule="auto" w:line="276"/>
              <w:jc w:val="left"/>
            </w:pPr>
            <w:r>
              <w:rPr>
                <w:rFonts w:ascii="Times New Roman" w:hAnsi="Times New Roman" w:cs="Times New Roman" w:eastAsia="Times New Roman"/>
                <w:b w:val="false"/>
                <w:sz w:val="26"/>
              </w:rPr>
              <w:t>Thông tư 25/2019/TT-BTNMT</w:t>
            </w:r>
          </w:p>
        </w:tc>
        <w:tc>
          <w:p/>
          <w:p>
            <w:pPr>
              <w:spacing w:after="0" w:before="0" w:lineRule="auto" w:line="276"/>
              <w:jc w:val="left"/>
            </w:pPr>
            <w:r>
              <w:rPr>
                <w:rFonts w:ascii="Times New Roman" w:hAnsi="Times New Roman" w:cs="Times New Roman" w:eastAsia="Times New Roman"/>
                <w:b w:val="false"/>
                <w:sz w:val="26"/>
              </w:rPr>
              <w:t>31-12-2019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2026-05-08T14:27:31Z</dcterms:created>
  <dc:creator>Apache POI</dc:creator>
</cp:coreProperties>
</file>